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8857" w:type="dxa"/>
        <w:jc w:val="left"/>
        <w:tblInd w:w="0" w:type="dxa"/>
        <w:tblLayout w:type="fixed"/>
        <w:tblCellMar>
          <w:top w:w="0" w:type="dxa"/>
          <w:left w:w="108" w:type="dxa"/>
          <w:bottom w:w="0" w:type="dxa"/>
          <w:right w:w="28" w:type="dxa"/>
        </w:tblCellMar>
        <w:tblLook w:firstRow="1" w:noVBand="1" w:lastRow="0" w:firstColumn="1" w:lastColumn="0" w:noHBand="0" w:val="04a0"/>
      </w:tblPr>
      <w:tblGrid>
        <w:gridCol w:w="1951"/>
        <w:gridCol w:w="4108"/>
        <w:gridCol w:w="2798"/>
      </w:tblGrid>
      <w:tr>
        <w:trPr>
          <w:trHeight w:val="567" w:hRule="atLeast"/>
        </w:trPr>
        <w:tc>
          <w:tcPr>
            <w:tcW w:w="1951" w:type="dxa"/>
            <w:tcBorders>
              <w:right w:val="nil"/>
            </w:tcBorders>
            <w:vAlign w:val="center"/>
          </w:tcPr>
          <w:p>
            <w:pPr>
              <w:pStyle w:val="Normal"/>
              <w:widowControl w:val="false"/>
              <w:tabs>
                <w:tab w:val="clear" w:pos="720"/>
                <w:tab w:val="left" w:pos="1815" w:leader="none"/>
              </w:tabs>
              <w:suppressAutoHyphens w:val="true"/>
              <w:spacing w:lineRule="auto" w:line="240" w:before="0" w:after="0"/>
              <w:jc w:val="left"/>
              <w:rPr>
                <w:rFonts w:ascii="Times New Roman" w:hAnsi="Times New Roman" w:cs="Times New Roman"/>
                <w:sz w:val="20"/>
                <w:szCs w:val="20"/>
              </w:rPr>
            </w:pPr>
            <w:r>
              <w:rPr>
                <w:rFonts w:eastAsia="MS Mincho" w:cs="Times New Roman" w:ascii="Times New Roman" w:hAnsi="Times New Roman"/>
                <w:b/>
                <w:kern w:val="0"/>
                <w:sz w:val="20"/>
                <w:szCs w:val="20"/>
                <w:lang w:val="en-US" w:eastAsia="en-US" w:bidi="ar-SA"/>
              </w:rPr>
              <w:t>Patient Name          :</w:t>
            </w:r>
          </w:p>
        </w:tc>
        <w:tc>
          <w:tcPr>
            <w:tcW w:w="4108" w:type="dxa"/>
            <w:tcBorders>
              <w:left w:val="nil"/>
            </w:tcBorders>
            <w:vAlign w:val="center"/>
          </w:tcPr>
          <w:p>
            <w:pPr>
              <w:pStyle w:val="Normal"/>
              <w:widowControl w:val="false"/>
              <w:suppressAutoHyphens w:val="true"/>
              <w:spacing w:lineRule="auto" w:line="240" w:before="0" w:after="0"/>
              <w:ind w:left="-107" w:hanging="0"/>
              <w:jc w:val="left"/>
              <w:rPr>
                <w:rFonts w:ascii="Times New Roman" w:hAnsi="Times New Roman" w:cs="Times New Roman"/>
                <w:szCs w:val="24"/>
              </w:rPr>
            </w:pPr>
            <w:r>
              <w:rPr>
                <w:kern w:val="0"/>
                <w:szCs w:val="24"/>
                <w:bCs/>
                <w:rFonts w:eastAsia="MS Mincho" w:cs="Times New Roman" w:ascii="Times New Roman" w:hAnsi="Times New Roman"/>
                <w:lang w:val="en-US" w:eastAsia="en-US" w:bidi="ar-SA"/>
              </w:rPr>
              <w:t>KANCHAN DEVI</w:t>
            </w:r>
          </w:p>
        </w:tc>
        <w:tc>
          <w:tcPr>
            <w:tcW w:w="2798" w:type="dxa"/>
            <w:tcBorders/>
            <w:vAlign w:val="center"/>
          </w:tcPr>
          <w:p>
            <w:pPr>
              <w:pStyle w:val="Normal"/>
              <w:widowControl w:val="false"/>
              <w:suppressAutoHyphens w:val="true"/>
              <w:spacing w:lineRule="auto" w:line="240" w:before="0" w:after="0"/>
              <w:jc w:val="left"/>
              <w:rPr>
                <w:rFonts w:ascii="Times New Roman" w:hAnsi="Times New Roman" w:cs="Times New Roman"/>
                <w:szCs w:val="24"/>
              </w:rPr>
            </w:pPr>
            <w:r>
              <w:rPr>
                <w:rFonts w:eastAsia="MS Mincho" w:cs="Times New Roman" w:ascii="Times New Roman" w:hAnsi="Times New Roman"/>
                <w:b/>
                <w:kern w:val="0"/>
                <w:sz w:val="20"/>
                <w:szCs w:val="20"/>
                <w:lang w:val="en-US" w:eastAsia="en-US" w:bidi="ar-SA"/>
              </w:rPr>
              <w:t>Gender      :</w:t>
            </w:r>
            <w:r>
              <w:rPr>
                <w:rFonts w:eastAsia="MS Mincho" w:cs="Times New Roman" w:ascii="Times New Roman" w:hAnsi="Times New Roman"/>
                <w:b/>
                <w:kern w:val="0"/>
                <w:szCs w:val="24"/>
                <w:lang w:val="en-US" w:eastAsia="en-US" w:bidi="ar-SA"/>
              </w:rPr>
              <w:t xml:space="preserve"> </w:t>
            </w:r>
            <w:r>
              <w:rPr>
                <w:kern w:val="0"/>
                <w:szCs w:val="24"/>
                <w:bCs/>
                <w:rFonts w:eastAsia="MS Mincho" w:cs="Times New Roman" w:ascii="Times New Roman" w:hAnsi="Times New Roman"/>
                <w:lang w:val="en-US" w:eastAsia="en-US" w:bidi="ar-SA"/>
              </w:rPr>
              <w:t>Female</w:t>
            </w:r>
          </w:p>
        </w:tc>
      </w:tr>
      <w:tr>
        <w:trPr>
          <w:trHeight w:val="567" w:hRule="atLeast"/>
        </w:trPr>
        <w:tc>
          <w:tcPr>
            <w:tcW w:w="1951" w:type="dxa"/>
            <w:tcBorders>
              <w:right w:val="nil"/>
            </w:tcBorders>
            <w:vAlign w:val="center"/>
          </w:tcPr>
          <w:p>
            <w:pPr>
              <w:pStyle w:val="Normal"/>
              <w:widowControl w:val="false"/>
              <w:suppressAutoHyphens w:val="true"/>
              <w:spacing w:lineRule="auto" w:line="240" w:before="0" w:after="0"/>
              <w:jc w:val="left"/>
              <w:rPr>
                <w:rFonts w:ascii="Times New Roman" w:hAnsi="Times New Roman" w:cs="Times New Roman"/>
                <w:sz w:val="20"/>
                <w:szCs w:val="20"/>
              </w:rPr>
            </w:pPr>
            <w:r>
              <w:rPr>
                <w:rFonts w:eastAsia="MS Mincho" w:cs="Times New Roman" w:ascii="Times New Roman" w:hAnsi="Times New Roman"/>
                <w:b/>
                <w:kern w:val="0"/>
                <w:sz w:val="20"/>
                <w:szCs w:val="20"/>
                <w:lang w:val="en-US" w:eastAsia="en-US" w:bidi="ar-SA"/>
              </w:rPr>
              <w:t>Age                           :</w:t>
            </w:r>
          </w:p>
        </w:tc>
        <w:tc>
          <w:tcPr>
            <w:tcW w:w="4108" w:type="dxa"/>
            <w:tcBorders>
              <w:left w:val="nil"/>
            </w:tcBorders>
            <w:vAlign w:val="center"/>
          </w:tcPr>
          <w:p>
            <w:pPr>
              <w:pStyle w:val="Normal"/>
              <w:widowControl w:val="false"/>
              <w:suppressAutoHyphens w:val="true"/>
              <w:spacing w:lineRule="auto" w:line="240" w:before="0" w:after="0"/>
              <w:ind w:left="-107" w:hanging="0"/>
              <w:jc w:val="left"/>
              <w:rPr>
                <w:rFonts w:ascii="Times New Roman" w:hAnsi="Times New Roman" w:cs="Times New Roman"/>
                <w:szCs w:val="24"/>
              </w:rPr>
            </w:pPr>
            <w:r>
              <w:rPr>
                <w:kern w:val="0"/>
                <w:szCs w:val="24"/>
                <w:bCs/>
                <w:rFonts w:eastAsia="MS Mincho" w:cs="Times New Roman" w:ascii="Times New Roman" w:hAnsi="Times New Roman"/>
                <w:lang w:val="en-US" w:eastAsia="en-US" w:bidi="ar-SA"/>
              </w:rPr>
              <w:t>20 Y</w:t>
            </w:r>
          </w:p>
        </w:tc>
        <w:tc>
          <w:tcPr>
            <w:tcW w:w="2798" w:type="dxa"/>
            <w:tcBorders/>
            <w:vAlign w:val="center"/>
          </w:tcPr>
          <w:p>
            <w:pPr>
              <w:pStyle w:val="Normal"/>
              <w:widowControl w:val="false"/>
              <w:tabs>
                <w:tab w:val="clear" w:pos="720"/>
                <w:tab w:val="left" w:pos="1080" w:leader="none"/>
              </w:tabs>
              <w:suppressAutoHyphens w:val="true"/>
              <w:spacing w:lineRule="auto" w:line="240" w:before="0" w:after="0"/>
              <w:jc w:val="left"/>
              <w:rPr>
                <w:rFonts w:ascii="Times New Roman" w:hAnsi="Times New Roman" w:cs="Times New Roman"/>
                <w:szCs w:val="24"/>
              </w:rPr>
            </w:pPr>
            <w:r>
              <w:rPr>
                <w:rFonts w:eastAsia="MS Mincho" w:cs="Times New Roman" w:ascii="Times New Roman" w:hAnsi="Times New Roman"/>
                <w:b/>
                <w:kern w:val="0"/>
                <w:sz w:val="20"/>
                <w:szCs w:val="20"/>
                <w:lang w:val="en-US" w:eastAsia="en-US" w:bidi="ar-SA"/>
              </w:rPr>
              <w:t>Date           :</w:t>
            </w:r>
            <w:r>
              <w:rPr>
                <w:rFonts w:eastAsia="MS Mincho" w:cs="Times New Roman" w:ascii="Times New Roman" w:hAnsi="Times New Roman"/>
                <w:b/>
                <w:kern w:val="0"/>
                <w:szCs w:val="24"/>
                <w:lang w:val="en-US" w:eastAsia="en-US" w:bidi="ar-SA"/>
              </w:rPr>
              <w:t xml:space="preserve"> </w:t>
            </w:r>
            <w:r>
              <w:rPr>
                <w:kern w:val="0"/>
                <w:szCs w:val="24"/>
                <w:bCs/>
                <w:rFonts w:eastAsia="MS Mincho" w:cs="Times New Roman" w:ascii="Times New Roman" w:hAnsi="Times New Roman"/>
                <w:lang w:val="en-US" w:eastAsia="en-US" w:bidi="ar-SA"/>
              </w:rPr>
              <w:t>Oct 05, 2023</w:t>
            </w:r>
          </w:p>
        </w:tc>
      </w:tr>
      <w:tr>
        <w:trPr>
          <w:trHeight w:val="567" w:hRule="atLeast"/>
        </w:trPr>
        <w:tc>
          <w:tcPr>
            <w:tcW w:w="1951" w:type="dxa"/>
            <w:tcBorders>
              <w:right w:val="nil"/>
            </w:tcBorders>
            <w:vAlign w:val="center"/>
          </w:tcPr>
          <w:p>
            <w:pPr>
              <w:pStyle w:val="Normal"/>
              <w:widowControl w:val="false"/>
              <w:suppressAutoHyphens w:val="true"/>
              <w:spacing w:lineRule="auto" w:line="240" w:before="0" w:after="0"/>
              <w:jc w:val="left"/>
              <w:rPr>
                <w:rFonts w:ascii="Times New Roman" w:hAnsi="Times New Roman" w:cs="Times New Roman"/>
                <w:sz w:val="20"/>
                <w:szCs w:val="20"/>
              </w:rPr>
            </w:pPr>
            <w:r>
              <w:rPr>
                <w:rFonts w:eastAsia="MS Mincho" w:cs="Times New Roman" w:ascii="Times New Roman" w:hAnsi="Times New Roman"/>
                <w:b/>
                <w:kern w:val="0"/>
                <w:sz w:val="20"/>
                <w:szCs w:val="20"/>
                <w:lang w:val="en-US" w:eastAsia="en-US" w:bidi="ar-SA"/>
              </w:rPr>
              <w:t>Referring Doctor    :</w:t>
            </w:r>
          </w:p>
        </w:tc>
        <w:tc>
          <w:tcPr>
            <w:tcW w:w="4108" w:type="dxa"/>
            <w:tcBorders>
              <w:left w:val="nil"/>
            </w:tcBorders>
            <w:vAlign w:val="center"/>
          </w:tcPr>
          <w:p>
            <w:pPr>
              <w:pStyle w:val="Normal"/>
              <w:widowControl w:val="false"/>
              <w:suppressAutoHyphens w:val="true"/>
              <w:spacing w:lineRule="auto" w:line="240" w:before="0" w:after="0"/>
              <w:ind w:left="-107" w:hanging="0"/>
              <w:jc w:val="left"/>
              <w:rPr>
                <w:rFonts w:ascii="Times New Roman" w:hAnsi="Times New Roman" w:cs="Times New Roman"/>
                <w:szCs w:val="24"/>
              </w:rPr>
            </w:pPr>
            <w:r>
              <w:rPr>
                <w:kern w:val="0"/>
                <w:szCs w:val="24"/>
                <w:bCs/>
                <w:rFonts w:eastAsia="MS Mincho" w:cs="Times New Roman" w:ascii="Times New Roman" w:hAnsi="Times New Roman"/>
                <w:lang w:val="en-US" w:eastAsia="en-US" w:bidi="ar-SA"/>
              </w:rPr>
              <w:t>DR A.K. SINGH MS MCH NEURO</w:t>
            </w:r>
          </w:p>
        </w:tc>
        <w:tc>
          <w:tcPr>
            <w:tcW w:w="2798" w:type="dxa"/>
            <w:tcBorders/>
            <w:vAlign w:val="center"/>
          </w:tcPr>
          <w:p>
            <w:pPr>
              <w:pStyle w:val="Normal"/>
              <w:widowControl w:val="false"/>
              <w:tabs>
                <w:tab w:val="clear" w:pos="720"/>
                <w:tab w:val="left" w:pos="1080" w:leader="none"/>
              </w:tabs>
              <w:suppressAutoHyphens w:val="true"/>
              <w:spacing w:lineRule="auto" w:line="240" w:before="0" w:after="0"/>
              <w:jc w:val="left"/>
              <w:rPr>
                <w:rFonts w:ascii="Times New Roman" w:hAnsi="Times New Roman" w:cs="Times New Roman"/>
                <w:szCs w:val="24"/>
              </w:rPr>
            </w:pPr>
            <w:r>
              <w:rPr>
                <w:rFonts w:eastAsia="MS Mincho" w:cs="Times New Roman" w:ascii="Times New Roman" w:hAnsi="Times New Roman"/>
                <w:b/>
                <w:kern w:val="0"/>
                <w:sz w:val="20"/>
                <w:szCs w:val="20"/>
                <w:lang w:val="en-US" w:eastAsia="en-US" w:bidi="ar-SA"/>
              </w:rPr>
              <w:t>Patient ID :</w:t>
            </w:r>
            <w:r>
              <w:rPr>
                <w:rFonts w:eastAsia="MS Mincho" w:cs="Times New Roman" w:ascii="Times New Roman" w:hAnsi="Times New Roman"/>
                <w:b/>
                <w:kern w:val="0"/>
                <w:szCs w:val="24"/>
                <w:lang w:val="en-US" w:eastAsia="en-US" w:bidi="ar-SA"/>
              </w:rPr>
              <w:t xml:space="preserve"> </w:t>
            </w:r>
            <w:r>
              <w:rPr>
                <w:kern w:val="0"/>
                <w:szCs w:val="24"/>
                <w:bCs/>
                <w:rFonts w:eastAsia="MS Mincho" w:cs="Times New Roman" w:ascii="Times New Roman" w:hAnsi="Times New Roman"/>
                <w:lang w:val="en-US" w:eastAsia="en-US" w:bidi="ar-SA"/>
              </w:rPr>
              <w:t>102305/7</w:t>
            </w:r>
          </w:p>
        </w:tc>
      </w:tr>
    </w:tbl>
    <w:p>
      <w:pPr>
        <w:pStyle w:val="NewHeading16"/>
        <w:spacing w:before="0" w:after="200"/>
        <w:jc w:val="center"/>
        <w:rPr/>
      </w:pPr>
      <w:r>
        <w:rPr/>
        <w:t/>
      </w:r>
    </w:p>
    <w:p>
      <w:pPr>
        <w:pStyle w:val="Heading3"/>
        <w:spacing w:before="113" w:after="113"/>
      </w:pPr>
      <w:r>
        <w:rPr>
          <w:b/>
        </w:rPr>
        <w:t>CE-MRI BRAIN</w:t>
      </w:r>
    </w:p>
    <w:p>
      <w:pPr>
        <w:pStyle w:val="Heading3"/>
        <w:spacing w:before="113" w:after="113"/>
      </w:pPr>
      <w:r>
        <w:rPr>
          <w:b/>
        </w:rPr>
        <w:t>CLINICAL HISTORY</w:t>
      </w:r>
    </w:p>
    <w:p>
      <w:r/>
      <w:r>
        <w:t>HEADACHE</w:t>
      </w:r>
    </w:p>
    <w:p>
      <w:pPr>
        <w:spacing w:before="113" w:after="113"/>
      </w:pPr>
      <w:r/>
      <w:r>
        <w:rPr>
          <w:b/>
        </w:rPr>
        <w:t>PROTOCOL</w:t>
      </w:r>
    </w:p>
    <w:p>
      <w:r/>
      <w:r>
        <w:t>Multiplanar and multi-echo MRI of the brain was performed after administration of intravenous contrast.</w:t>
      </w:r>
    </w:p>
    <w:p>
      <w:pPr>
        <w:spacing w:before="113" w:after="113"/>
      </w:pPr>
      <w:r/>
      <w:r>
        <w:rPr>
          <w:b/>
        </w:rPr>
        <w:t>FINDINGS:</w:t>
      </w:r>
    </w:p>
    <w:p>
      <w:pPr>
        <w:spacing w:before="113" w:after="113"/>
      </w:pPr>
      <w:r/>
      <w:r>
        <w:rPr>
          <w:b/>
        </w:rPr>
        <w:t xml:space="preserve">POSTERIOR FOSSA: </w:t>
      </w:r>
    </w:p>
    <w:p>
      <w:pPr>
        <w:pStyle w:val="ListBullet"/>
        <w:spacing w:line="240" w:lineRule="auto"/>
        <w:ind w:left="396"/>
      </w:pPr>
      <w:r/>
      <w:r>
        <w:t xml:space="preserve">Cerebellum and brainstem are normal. </w:t>
      </w:r>
    </w:p>
    <w:p>
      <w:pPr>
        <w:pStyle w:val="ListBullet"/>
        <w:spacing w:line="240" w:lineRule="auto"/>
        <w:ind w:left="396"/>
      </w:pPr>
      <w:r/>
      <w:r>
        <w:t xml:space="preserve">Cerebellar folia are normal. </w:t>
      </w:r>
    </w:p>
    <w:p>
      <w:pPr>
        <w:pStyle w:val="ListBullet"/>
        <w:spacing w:line="240" w:lineRule="auto"/>
        <w:ind w:left="396"/>
      </w:pPr>
      <w:r/>
      <w:r>
        <w:t>No evidence of tonsillar herniation.</w:t>
      </w:r>
    </w:p>
    <w:p>
      <w:pPr>
        <w:pStyle w:val="ListBullet"/>
        <w:spacing w:line="240" w:lineRule="auto"/>
        <w:ind w:left="396"/>
      </w:pPr>
      <w:r/>
      <w:r>
        <w:t xml:space="preserve">Pons and medulla show normal signal intensity. </w:t>
      </w:r>
    </w:p>
    <w:p>
      <w:pPr>
        <w:pStyle w:val="ListBullet"/>
        <w:spacing w:line="240" w:lineRule="auto"/>
        <w:ind w:left="396"/>
      </w:pPr>
      <w:r/>
      <w:r>
        <w:t xml:space="preserve">No focal SOL is seen. Basal and CP angle cisterns are normal. </w:t>
      </w:r>
    </w:p>
    <w:p>
      <w:pPr>
        <w:pStyle w:val="ListBullet"/>
        <w:spacing w:line="240" w:lineRule="auto"/>
        <w:ind w:left="396"/>
      </w:pPr>
      <w:r/>
      <w:r>
        <w:t xml:space="preserve">Fourth ventricle is central and is normal in shape. </w:t>
      </w:r>
    </w:p>
    <w:p>
      <w:pPr>
        <w:pStyle w:val="ListBullet"/>
        <w:spacing w:line="240" w:lineRule="auto"/>
        <w:ind w:left="396"/>
      </w:pPr>
      <w:r/>
      <w:r>
        <w:t xml:space="preserve">Both the IAMs are normal and symmetrical. </w:t>
      </w:r>
    </w:p>
    <w:p>
      <w:pPr>
        <w:pStyle w:val="ListBullet"/>
        <w:spacing w:line="240" w:lineRule="auto"/>
        <w:ind w:left="396"/>
      </w:pPr>
      <w:r/>
      <w:r>
        <w:t>VII and VIII nerve complex appear normal.</w:t>
      </w:r>
    </w:p>
    <w:p>
      <w:pPr>
        <w:pStyle w:val="ListBullet"/>
        <w:spacing w:line="240" w:lineRule="auto"/>
        <w:ind w:left="396"/>
      </w:pPr>
      <w:r/>
      <w:r>
        <w:t>Bilateral mastoid air cells are normal.</w:t>
      </w:r>
    </w:p>
    <w:p>
      <w:pPr>
        <w:spacing w:before="113" w:after="113"/>
      </w:pPr>
      <w:r/>
      <w:r>
        <w:rPr>
          <w:b/>
        </w:rPr>
        <w:t xml:space="preserve">SELLA: </w:t>
      </w:r>
    </w:p>
    <w:p>
      <w:pPr>
        <w:pStyle w:val="ListBullet"/>
        <w:spacing w:line="240" w:lineRule="auto"/>
        <w:ind w:left="396"/>
      </w:pPr>
      <w:r/>
      <w:r>
        <w:t xml:space="preserve">The pituitary gland shows a normal shape, appearance and signal intensity pattern. No intra sellar or supra sellar mass seen. Stalk is in the midline. Sellar structures are normal. </w:t>
      </w:r>
    </w:p>
    <w:p>
      <w:pPr>
        <w:pStyle w:val="ListBullet"/>
        <w:spacing w:line="240" w:lineRule="auto"/>
        <w:ind w:left="396"/>
      </w:pPr>
      <w:r/>
      <w:r>
        <w:t xml:space="preserve">No evidence of abnormal SOL or calcification is seen. </w:t>
      </w:r>
    </w:p>
    <w:p>
      <w:pPr>
        <w:pStyle w:val="ListBullet"/>
        <w:spacing w:line="240" w:lineRule="auto"/>
        <w:ind w:left="396"/>
      </w:pPr>
      <w:r/>
      <w:r>
        <w:t xml:space="preserve">Clinoid processes and Sella floor are normal. </w:t>
      </w:r>
    </w:p>
    <w:p>
      <w:pPr>
        <w:pStyle w:val="ListBullet"/>
        <w:spacing w:line="240" w:lineRule="auto"/>
        <w:ind w:left="396"/>
      </w:pPr>
      <w:r/>
      <w:r>
        <w:t xml:space="preserve">Cavernous sinuses are normal in size. Sellar margins are well maintained. No bony lytic lesion or break in continuity. </w:t>
      </w:r>
    </w:p>
    <w:p>
      <w:pPr>
        <w:pStyle w:val="ListBullet"/>
        <w:spacing w:line="240" w:lineRule="auto"/>
        <w:ind w:left="396"/>
      </w:pPr>
      <w:r/>
      <w:r>
        <w:t xml:space="preserve">Supra sellar and chiasmatic cisterns are normal. No para sellar abnormality. No hypothalamic lesion. </w:t>
      </w:r>
    </w:p>
    <w:p>
      <w:pPr>
        <w:pStyle w:val="ListBullet"/>
        <w:spacing w:line="240" w:lineRule="auto"/>
        <w:ind w:left="396"/>
      </w:pPr>
      <w:r/>
      <w:r>
        <w:t xml:space="preserve">Sphenoid sinus appears normal. Visualized basal cisterns are within normal limits. </w:t>
      </w:r>
    </w:p>
    <w:p>
      <w:pPr>
        <w:spacing w:before="113" w:after="113"/>
      </w:pPr>
      <w:r/>
      <w:r>
        <w:rPr>
          <w:b/>
        </w:rPr>
        <w:t xml:space="preserve">SUPRATENTORIAL: </w:t>
      </w:r>
    </w:p>
    <w:p>
      <w:pPr>
        <w:pStyle w:val="ListBullet"/>
        <w:spacing w:line="240" w:lineRule="auto" w:before="113" w:after="113"/>
        <w:ind w:left="396"/>
      </w:pPr>
      <w:r/>
      <w:r>
        <w:rPr>
          <w:b/>
        </w:rPr>
        <w:t>There is evidence of ill defined T2/FLAIR hyperintense areas involving bilateral frontoparietal subcortical white matter. Ill defined hyperintensities are also seen involving the left periventricular frontal white matter reaching upto the rostrum, and bilateral forceps major ( left more than right ) reaching upto the splenium. No evidence of enhancement or diffusion restriction seen</w:t>
      </w:r>
      <w:r>
        <w:t>.</w:t>
      </w:r>
    </w:p>
    <w:p>
      <w:pPr>
        <w:pStyle w:val="ListBullet"/>
        <w:spacing w:line="240" w:lineRule="auto"/>
        <w:ind w:left="396"/>
      </w:pPr>
      <w:r/>
      <w:r>
        <w:t>Rest of both the cerebral hemispheres are normal in signal intensity and grey and white interface is well maintained.</w:t>
      </w:r>
    </w:p>
    <w:p>
      <w:pPr>
        <w:pStyle w:val="ListBullet"/>
        <w:spacing w:line="240" w:lineRule="auto"/>
        <w:ind w:left="396"/>
      </w:pPr>
      <w:r/>
      <w:r>
        <w:t>Grey and white matter differentiation is maintained.</w:t>
      </w:r>
    </w:p>
    <w:p>
      <w:pPr>
        <w:pStyle w:val="ListBullet"/>
        <w:spacing w:line="240" w:lineRule="auto"/>
        <w:ind w:left="396"/>
      </w:pPr>
      <w:r/>
      <w:r>
        <w:t>Basal ganglia and thalamus appear normal.</w:t>
      </w:r>
    </w:p>
    <w:p>
      <w:pPr>
        <w:pStyle w:val="ListBullet"/>
        <w:spacing w:line="240" w:lineRule="auto"/>
        <w:ind w:left="396"/>
      </w:pPr>
      <w:r/>
      <w:r>
        <w:t>Bilateral insular cortex and Sylvian fissures appear normal.</w:t>
      </w:r>
    </w:p>
    <w:p>
      <w:pPr>
        <w:pStyle w:val="ListBullet"/>
        <w:spacing w:line="240" w:lineRule="auto"/>
        <w:ind w:left="396"/>
      </w:pPr>
      <w:r/>
      <w:r>
        <w:t>No abnormal parenchymal / meningeal / cisternal enhancement is seen.</w:t>
      </w:r>
    </w:p>
    <w:p>
      <w:pPr>
        <w:pStyle w:val="ListBullet"/>
        <w:spacing w:line="240" w:lineRule="auto"/>
        <w:ind w:left="396"/>
      </w:pPr>
      <w:r/>
      <w:r>
        <w:t>Midline septa not shifted. No evidence of brain herniation.</w:t>
      </w:r>
    </w:p>
    <w:p>
      <w:pPr>
        <w:pStyle w:val="ListBullet"/>
        <w:spacing w:line="240" w:lineRule="auto"/>
        <w:ind w:left="396"/>
      </w:pPr>
      <w:r/>
      <w:r>
        <w:t>Ventricular system is not dilated and appear symmetrical. No intraventricular or ependymal lesions. Aqueduct appears normal in size.</w:t>
      </w:r>
    </w:p>
    <w:p>
      <w:pPr>
        <w:pStyle w:val="ListBullet"/>
        <w:spacing w:line="240" w:lineRule="auto"/>
        <w:ind w:left="396"/>
      </w:pPr>
      <w:r/>
      <w:r>
        <w:t>CSF spaces and fissures are well maintained.</w:t>
      </w:r>
    </w:p>
    <w:p>
      <w:pPr>
        <w:pStyle w:val="ListBullet"/>
        <w:spacing w:line="240" w:lineRule="auto"/>
        <w:ind w:left="396"/>
      </w:pPr>
      <w:r/>
      <w:r>
        <w:t>No evidence of extra-axial collection is seen.</w:t>
      </w:r>
    </w:p>
    <w:p>
      <w:pPr>
        <w:spacing w:before="113" w:after="113"/>
      </w:pPr>
      <w:r/>
      <w:r>
        <w:rPr>
          <w:b/>
        </w:rPr>
        <w:t>INTRACRANIAL ARTERIES AND VENOUS SINUSES:</w:t>
      </w:r>
    </w:p>
    <w:p>
      <w:pPr>
        <w:pStyle w:val="ListBullet"/>
        <w:spacing w:line="240" w:lineRule="auto"/>
        <w:ind w:left="396"/>
      </w:pPr>
      <w:r/>
      <w:r>
        <w:t xml:space="preserve">Flow voids of the major vessels viz; intracranial ICA, basilar artery &amp; their branches and of the venous sinuses are well seen. </w:t>
      </w:r>
    </w:p>
    <w:p>
      <w:pPr>
        <w:pStyle w:val="ListBullet"/>
        <w:spacing w:line="240" w:lineRule="auto"/>
        <w:ind w:left="396"/>
      </w:pPr>
      <w:r/>
      <w:r>
        <w:t>No evidence of aneurysm or sinus thrombosis. No arteriovenous malformation noted.</w:t>
      </w:r>
    </w:p>
    <w:p>
      <w:pPr>
        <w:spacing w:before="113" w:after="113"/>
      </w:pPr>
      <w:r/>
      <w:r>
        <w:rPr>
          <w:b/>
        </w:rPr>
        <w:t xml:space="preserve">CALVARIUM AND SCALP: </w:t>
      </w:r>
    </w:p>
    <w:p>
      <w:pPr>
        <w:pStyle w:val="ListBullet"/>
        <w:spacing w:line="240" w:lineRule="auto"/>
        <w:ind w:left="396"/>
      </w:pPr>
      <w:r/>
      <w:r>
        <w:t xml:space="preserve">Bony calvarium shows normal signal and diploic space. No MRI evidence of fracture or SOL is seen. </w:t>
      </w:r>
    </w:p>
    <w:p>
      <w:pPr>
        <w:pStyle w:val="ListBullet"/>
        <w:spacing w:line="240" w:lineRule="auto"/>
        <w:ind w:left="396"/>
      </w:pPr>
      <w:r/>
      <w:r>
        <w:t>No defect , sclerotic or lytic skull lesion noted.</w:t>
      </w:r>
    </w:p>
    <w:p>
      <w:pPr>
        <w:pStyle w:val="ListBullet"/>
        <w:spacing w:line="240" w:lineRule="auto"/>
        <w:ind w:left="396"/>
      </w:pPr>
      <w:r/>
      <w:r>
        <w:t>Skull base appears grossly normal. Overlying scalp is normal. No focal lesion or swelling noted.</w:t>
      </w:r>
    </w:p>
    <w:p>
      <w:pPr>
        <w:spacing w:before="113" w:after="113"/>
      </w:pPr>
      <w:r/>
      <w:r>
        <w:rPr>
          <w:b/>
        </w:rPr>
        <w:t>ORBITS AND PARANASAL SINUSES :</w:t>
      </w:r>
    </w:p>
    <w:p>
      <w:pPr>
        <w:pStyle w:val="ListBullet"/>
        <w:spacing w:line="240" w:lineRule="auto"/>
        <w:ind w:left="396"/>
      </w:pPr>
      <w:r/>
      <w:r>
        <w:t>Visualized bony orbits appear normal. Visualized intraorbital contents show no obvious abnormality</w:t>
      </w:r>
    </w:p>
    <w:p>
      <w:pPr>
        <w:pStyle w:val="ListBullet"/>
        <w:spacing w:line="240" w:lineRule="auto"/>
        <w:ind w:left="396"/>
      </w:pPr>
      <w:r/>
      <w:r>
        <w:t>Visualized eye globes and lens show normal signal intensity.</w:t>
      </w:r>
    </w:p>
    <w:p>
      <w:pPr>
        <w:pStyle w:val="ListBullet"/>
        <w:spacing w:line="240" w:lineRule="auto" w:before="113" w:after="113"/>
        <w:ind w:left="396"/>
      </w:pPr>
      <w:r/>
      <w:r>
        <w:rPr>
          <w:b/>
        </w:rPr>
        <w:t>There is evidence of minimal mucosal thickening in bilateral ethmoidal sinuses</w:t>
      </w:r>
      <w:r>
        <w:t>. Rest of paranasal sinuses are well pneumatized without any fluid collection/mucosal thickening.</w:t>
      </w:r>
    </w:p>
    <w:p>
      <w:pPr>
        <w:spacing w:before="113" w:after="113"/>
      </w:pPr>
      <w:r/>
      <w:r>
        <w:rPr>
          <w:b/>
        </w:rPr>
        <w:t>IMPRESSION:</w:t>
      </w:r>
    </w:p>
    <w:p>
      <w:pPr>
        <w:pStyle w:val="ListBullet"/>
        <w:spacing w:line="240" w:lineRule="auto" w:before="113" w:after="113"/>
        <w:ind w:left="396"/>
      </w:pPr>
      <w:r/>
      <w:r>
        <w:rPr>
          <w:b/>
        </w:rPr>
        <w:t>Ill defined T2/FLAIR hyperintense areas involving bilateral frontoparietal subcortical white matter, left periventricular frontal white matter reaching upto the rostrum, and bilateral forceps major as described. Findings are likely to represent demyelinating disease</w:t>
      </w:r>
      <w:r>
        <w:t>.</w:t>
      </w:r>
    </w:p>
    <w:p>
      <w:pPr>
        <w:spacing w:before="113" w:after="113"/>
      </w:pPr>
      <w:r/>
      <w:r>
        <w:rPr>
          <w:b/>
        </w:rPr>
        <w:t>RECOMMENDATION</w:t>
      </w:r>
    </w:p>
    <w:p>
      <w:r/>
      <w:r>
        <w:t>Suggested clinical correlation and follow up.</w:t>
      </w:r>
    </w:p>
    <w:p>
      <w:pPr>
        <w:pStyle w:val="SignaturePara"/>
      </w:pPr>
      <w:r>
        <w:t xml:space="preserve">                                                                                      </w:t>
        <w:drawing>
          <wp:inline xmlns:a="http://schemas.openxmlformats.org/drawingml/2006/main" xmlns:pic="http://schemas.openxmlformats.org/drawingml/2006/picture">
            <wp:extent cx="1014156" cy="720000"/>
            <wp:docPr id="1" name="Picture 1"/>
            <wp:cNvGraphicFramePr>
              <a:graphicFrameLocks noChangeAspect="1"/>
            </wp:cNvGraphicFramePr>
            <a:graphic>
              <a:graphicData uri="http://schemas.openxmlformats.org/drawingml/2006/picture">
                <pic:pic>
                  <pic:nvPicPr>
                    <pic:cNvPr id="0" name="Dr._Thaihamdao_sign-removebg-preview.png"/>
                    <pic:cNvPicPr/>
                  </pic:nvPicPr>
                  <pic:blipFill>
                    <a:blip r:embed="rId13"/>
                    <a:stretch>
                      <a:fillRect/>
                    </a:stretch>
                  </pic:blipFill>
                  <pic:spPr>
                    <a:xfrm>
                      <a:off x="0" y="0"/>
                      <a:ext cx="1014156" cy="720000"/>
                    </a:xfrm>
                    <a:prstGeom prst="rect"/>
                  </pic:spPr>
                </pic:pic>
              </a:graphicData>
            </a:graphic>
          </wp:inline>
        </w:drawing>
      </w:r>
      <w:r>
        <w:br/>
        <w:t xml:space="preserve">                                                                                      Dr. Thaihamdao Haflongbar</w:t>
        <w:br/>
        <w:t xml:space="preserve">                                                                                      MBBS, MD (Delhi) Consultant Radiologist</w:t>
        <w:br/>
        <w:t xml:space="preserve">                                                                                      Reg - DMC 12048</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0" w:top="2410" w:footer="969" w:bottom="354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Body)">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uppressAutoHyphens w:val="false"/>
      <w:spacing w:lineRule="auto" w:line="240" w:before="0" w:after="0"/>
      <w:ind w:left="-709" w:hanging="0"/>
      <w:jc w:val="center"/>
      <w:rPr>
        <w:rFonts w:ascii="Arial" w:hAnsi="Arial" w:cs="Arial"/>
        <w:color w:val="000000" w:themeColor="text1"/>
        <w:sz w:val="18"/>
        <w:szCs w:val="18"/>
        <w:shd w:fill="F8F8F8" w:val="clear"/>
      </w:rPr>
    </w:pPr>
    <w:r>
      <w:rPr>
        <w:rFonts w:cs="Arial" w:ascii="Arial" w:hAnsi="Arial"/>
        <w:color w:val="000000" w:themeColor="text1"/>
        <w:sz w:val="18"/>
        <w:szCs w:val="18"/>
        <w:shd w:fill="F8F8F8" w:val="clear"/>
      </w:rPr>
      <w:t>NOTE: This is an online interpretation of medical imaging based on clinical data, wherever available. Not for Medicolegal purpose. In case of any discrepancy please reinvestigate</w:t>
    </w:r>
    <w:r>
      <w:rPr>
        <w:rFonts w:cs="Arial" w:ascii="Arial" w:hAnsi="Arial"/>
        <w:color w:val="000000" w:themeColor="text1"/>
        <w:sz w:val="18"/>
        <w:szCs w:val="18"/>
      </w:rPr>
      <w:t xml:space="preserve"> </w:t>
    </w:r>
    <w:r>
      <w:rPr>
        <w:rFonts w:cs="Arial" w:ascii="Arial" w:hAnsi="Arial"/>
        <w:color w:val="000000" w:themeColor="text1"/>
        <w:sz w:val="18"/>
        <w:szCs w:val="18"/>
        <w:shd w:fill="F8F8F8" w:val="clear"/>
      </w:rPr>
      <w:t>the patient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uppressAutoHyphens w:val="false"/>
      <w:spacing w:lineRule="auto" w:line="240" w:before="0" w:after="0"/>
      <w:ind w:left="-709" w:hanging="0"/>
      <w:jc w:val="center"/>
      <w:rPr>
        <w:rFonts w:ascii="Arial" w:hAnsi="Arial" w:cs="Arial"/>
        <w:color w:val="000000" w:themeColor="text1"/>
        <w:sz w:val="18"/>
        <w:szCs w:val="18"/>
        <w:shd w:fill="F8F8F8" w:val="clear"/>
      </w:rPr>
    </w:pPr>
    <w:r>
      <w:rPr>
        <w:rFonts w:cs="Arial" w:ascii="Arial" w:hAnsi="Arial"/>
        <w:color w:val="000000" w:themeColor="text1"/>
        <w:sz w:val="18"/>
        <w:szCs w:val="18"/>
        <w:shd w:fill="F8F8F8" w:val="clear"/>
      </w:rPr>
      <w:t>NOTE: This is an online interpretation of medical imaging based on clinical data, wherever available. Not for Medicolegal purpose. In case of any discrepancy please reinvestigate</w:t>
    </w:r>
    <w:r>
      <w:rPr>
        <w:rFonts w:cs="Arial" w:ascii="Arial" w:hAnsi="Arial"/>
        <w:color w:val="000000" w:themeColor="text1"/>
        <w:sz w:val="18"/>
        <w:szCs w:val="18"/>
      </w:rPr>
      <w:t xml:space="preserve"> </w:t>
    </w:r>
    <w:r>
      <w:rPr>
        <w:rFonts w:cs="Arial" w:ascii="Arial" w:hAnsi="Arial"/>
        <w:color w:val="000000" w:themeColor="text1"/>
        <w:sz w:val="18"/>
        <w:szCs w:val="18"/>
        <w:shd w:fill="F8F8F8" w:val="clear"/>
      </w:rPr>
      <w:t>the patient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0" w:name="_GoBack"/>
    <w:bookmarkStart w:id="1" w:name="_GoBack"/>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2" w:name="_GoBack"/>
    <w:bookmarkStart w:id="3" w:name="_GoBack"/>
    <w:bookmarkEnd w:id="3"/>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exact" w:line="300" w:before="0" w:after="0"/>
      <w:jc w:val="left"/>
    </w:pPr>
    <w:rPr>
      <w:rFonts w:ascii="Times New Roman" w:hAnsi="Times New Roman" w:eastAsia="ＭＳ 明朝" w:cs="" w:cstheme="minorBidi" w:eastAsiaTheme="minorEastAsia"/>
      <w:b w:val="0"/>
      <w:color w:val="auto"/>
      <w:kern w:val="0"/>
      <w:sz w:val="24"/>
      <w:szCs w:val="22"/>
      <w:u w:val="none"/>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0"/>
      <w:ind w:left="0" w:right="0"/>
      <w:contextualSpacing/>
    </w:pPr>
    <w:rPr>
      <w:rFonts w:ascii="Times New Roman" w:hAnsi="Times New Roman"/>
      <w:b w:val="0"/>
      <w:sz w:val="24"/>
      <w:u w:val="none"/>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rPr/>
  </w:style>
  <w:style w:type="paragraph" w:styleId="NewHeading16" w:customStyle="1">
    <w:name w:val="New Heading 16"/>
    <w:qFormat/>
    <w:pPr>
      <w:widowControl/>
      <w:suppressAutoHyphens w:val="true"/>
      <w:bidi w:val="0"/>
      <w:spacing w:lineRule="auto" w:line="276" w:before="0" w:after="200"/>
      <w:jc w:val="left"/>
    </w:pPr>
    <w:rPr>
      <w:rFonts w:ascii="Times New Roman" w:hAnsi="Times New Roman" w:eastAsia="MS Mincho" w:cs=""/>
      <w:b/>
      <w:color w:val="000000"/>
      <w:kern w:val="0"/>
      <w:sz w:val="32"/>
      <w:szCs w:val="22"/>
      <w:u w:val="single"/>
      <w:lang w:val="en-US" w:eastAsia="en-US" w:bidi="ar-SA"/>
    </w:rPr>
  </w:style>
  <w:style w:type="paragraph" w:styleId="NewPara13" w:customStyle="1">
    <w:name w:val="New Para 13"/>
    <w:qFormat/>
    <w:pPr>
      <w:widowControl/>
      <w:suppressAutoHyphens w:val="true"/>
      <w:bidi w:val="0"/>
      <w:spacing w:lineRule="auto" w:line="276" w:before="0" w:after="200"/>
      <w:jc w:val="left"/>
    </w:pPr>
    <w:rPr>
      <w:rFonts w:ascii="Times New Roman" w:hAnsi="Times New Roman" w:eastAsia="ＭＳ 明朝" w:cs="" w:cstheme="minorBidi" w:eastAsiaTheme="minorEastAsia"/>
      <w:color w:val="auto"/>
      <w:kern w:val="0"/>
      <w:sz w:val="26"/>
      <w:szCs w:val="22"/>
      <w:lang w:val="en-US" w:eastAsia="en-US" w:bidi="ar-SA"/>
    </w:rPr>
  </w:style>
  <w:style w:type="paragraph" w:styleId="NewHeading12" w:customStyle="1">
    <w:name w:val="New Heading 12"/>
    <w:qFormat/>
    <w:pPr>
      <w:widowControl/>
      <w:suppressAutoHyphens w:val="true"/>
      <w:bidi w:val="0"/>
      <w:spacing w:lineRule="auto" w:line="276" w:before="0" w:after="200"/>
      <w:jc w:val="left"/>
    </w:pPr>
    <w:rPr>
      <w:rFonts w:ascii="Times New Roman" w:hAnsi="Times New Roman" w:eastAsia="MS Mincho" w:cs=""/>
      <w:b/>
      <w:color w:val="000000"/>
      <w:kern w:val="0"/>
      <w:sz w:val="24"/>
      <w:szCs w:val="22"/>
      <w:u w:val="single"/>
      <w:lang w:val="en-US" w:eastAsia="en-US" w:bidi="ar-SA"/>
    </w:rPr>
  </w:style>
  <w:style w:type="paragraph" w:styleId="BulletStyle" w:customStyle="1">
    <w:name w:val="Bullet Style"/>
    <w:basedOn w:val="ListBullet"/>
    <w:qFormat/>
    <w:pPr/>
    <w:rPr>
      <w:rFonts w:ascii="Times New Roman" w:hAnsi="Times New Roman"/>
      <w:sz w:val="2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Paragraph">
    <w:name w:val="ImageParagraph"/>
    <w:pPr>
      <w:spacing w:before="0"/>
    </w:pPr>
  </w:style>
  <w:style w:type="paragraph" w:customStyle="1" w:styleId="MainTitle">
    <w:name w:val="Main Title"/>
    <w:pPr>
      <w:spacing w:before="440" w:after="240"/>
    </w:pPr>
    <w:rPr>
      <w:rFonts w:ascii="Times New Roman" w:hAnsi="Times New Roman"/>
      <w:b/>
      <w:sz w:val="32"/>
      <w:u w:val="single"/>
    </w:rPr>
  </w:style>
  <w:style w:type="paragraph" w:customStyle="1" w:styleId="SignaturePara">
    <w:name w:val="Signature Para"/>
    <w:rPr>
      <w:rFonts w:ascii="Times New Roman" w:hAnsi="Times New Roman"/>
      <w:b/>
      <w:sz w:val="20"/>
      <w:u w:val="non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920A4F-0DC9-494C-8D17-1F73F02FD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LibreOffice/7.5.5.2$Windows_X86_64 LibreOffice_project/ca8fe7424262805f223b9a2334bc7181abbcbf5e</Application>
  <AppVersion>15.0000</AppVersion>
  <Pages>1</Pages>
  <Words>50</Words>
  <Characters>287</Characters>
  <CharactersWithSpaces>379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2023-09-21T11:40:00Z</dcterms:created>
  <dc:creator>python-docx</dc:creator>
  <dc:description>generated by python-docx</dc:description>
  <dc:language>en-IN</dc:language>
  <cp:lastModifiedBy>Praveen Jain</cp:lastModifiedBy>
  <cp:lastPrinted>2020-12-25T08:35:00Z</cp:lastPrinted>
  <dcterms:modified xsi:type="dcterms:W3CDTF">2023-09-21T11:40:00Z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