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125B4D3D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2E7FC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VISHAL KUMAR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6C622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proofErr w:type="gramStart"/>
      <w:r w:rsidR="002E7FC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8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proofErr w:type="gramEnd"/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2E7FC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2E7FC2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10 January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46CC6F91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</w:t>
      </w:r>
      <w:r w:rsidR="002E7FC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SATISH THAKUR MD 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A7E1346" w14:textId="1EE94D27" w:rsidR="00B53913" w:rsidRPr="00891850" w:rsidRDefault="00891850" w:rsidP="0057793B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3CBA12E5" w14:textId="643A22B3" w:rsidR="002E7FC2" w:rsidRPr="002E7FC2" w:rsidRDefault="00BE5D39" w:rsidP="002E7FC2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4973ADFD" w14:textId="77777777" w:rsidR="002E7FC2" w:rsidRPr="002E7FC2" w:rsidRDefault="002E7FC2" w:rsidP="002E7FC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Findings</w:t>
      </w:r>
    </w:p>
    <w:p w14:paraId="75E691BB" w14:textId="77777777" w:rsidR="002E7FC2" w:rsidRPr="002E7FC2" w:rsidRDefault="002E7FC2" w:rsidP="002E7FC2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Lateral Ventricles:</w:t>
      </w:r>
    </w:p>
    <w:p w14:paraId="2971B66F" w14:textId="77777777" w:rsidR="002E7FC2" w:rsidRPr="002E7FC2" w:rsidRDefault="002E7FC2" w:rsidP="002E7FC2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Focal dilatation of posterior horns of bilateral lateral ventricles noted.</w:t>
      </w:r>
    </w:p>
    <w:p w14:paraId="0A7091C6" w14:textId="77777777" w:rsidR="002E7FC2" w:rsidRPr="002E7FC2" w:rsidRDefault="002E7FC2" w:rsidP="002E7FC2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Surrounding T2/FLAIR hyperintensity is present, suggesting gliotic changes.</w:t>
      </w:r>
    </w:p>
    <w:p w14:paraId="1B951D6B" w14:textId="77777777" w:rsidR="002E7FC2" w:rsidRPr="002E7FC2" w:rsidRDefault="002E7FC2" w:rsidP="002E7FC2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Cerebral Parenchyma:</w:t>
      </w:r>
    </w:p>
    <w:p w14:paraId="42964619" w14:textId="77777777" w:rsidR="002E7FC2" w:rsidRPr="002E7FC2" w:rsidRDefault="002E7FC2" w:rsidP="002E7FC2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Crowding of sulci and gyri</w:t>
      </w:r>
      <w:r w:rsidRPr="002E7F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periventricular region, consistent with volume loss and parenchymal injury.</w:t>
      </w:r>
    </w:p>
    <w:p w14:paraId="1A0BF7B7" w14:textId="77777777" w:rsidR="002E7FC2" w:rsidRPr="002E7FC2" w:rsidRDefault="002E7FC2" w:rsidP="002E7FC2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Signal changes in periventricular white matter likely represent sequelae of hypoxic-ischemic injury.</w:t>
      </w:r>
    </w:p>
    <w:p w14:paraId="582AD7A9" w14:textId="77777777" w:rsidR="002E7FC2" w:rsidRPr="002E7FC2" w:rsidRDefault="002E7FC2" w:rsidP="002E7FC2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Other Structures:</w:t>
      </w:r>
    </w:p>
    <w:p w14:paraId="7EA0405D" w14:textId="77777777" w:rsidR="002E7FC2" w:rsidRPr="002E7FC2" w:rsidRDefault="002E7FC2" w:rsidP="002E7FC2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Corpus callosum, basal ganglia, thalami, brainstem, and cerebellum appear grossly preserved.</w:t>
      </w:r>
    </w:p>
    <w:p w14:paraId="64D2250C" w14:textId="77777777" w:rsidR="002E7FC2" w:rsidRPr="002E7FC2" w:rsidRDefault="002E7FC2" w:rsidP="002E7FC2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acute </w:t>
      </w:r>
      <w:proofErr w:type="spellStart"/>
      <w:r w:rsidRPr="002E7F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2E7F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mass lesion, or midline shift identified.</w:t>
      </w:r>
    </w:p>
    <w:p w14:paraId="6CE42189" w14:textId="77777777" w:rsidR="002E7FC2" w:rsidRPr="002E7FC2" w:rsidRDefault="002E7FC2" w:rsidP="002E7FC2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extra-axial collection.</w:t>
      </w:r>
    </w:p>
    <w:p w14:paraId="06E77F5B" w14:textId="77777777" w:rsidR="002E7FC2" w:rsidRPr="002E7FC2" w:rsidRDefault="002E7FC2" w:rsidP="002E7FC2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522784A">
          <v:rect id="_x0000_i1027" style="width:0;height:1.5pt" o:hralign="center" o:hrstd="t" o:hr="t" fillcolor="#a0a0a0" stroked="f"/>
        </w:pict>
      </w:r>
    </w:p>
    <w:p w14:paraId="7A0D7FD3" w14:textId="77777777" w:rsidR="002E7FC2" w:rsidRDefault="002E7FC2" w:rsidP="002E7FC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</w:t>
      </w:r>
    </w:p>
    <w:p w14:paraId="7E85868E" w14:textId="77777777" w:rsidR="002E7FC2" w:rsidRPr="002E7FC2" w:rsidRDefault="002E7FC2" w:rsidP="002E7FC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</w:p>
    <w:p w14:paraId="72EDC393" w14:textId="77777777" w:rsidR="002E7FC2" w:rsidRPr="002E7FC2" w:rsidRDefault="002E7FC2" w:rsidP="002E7FC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Findings are consistent with sequelae of hypoxic-ischemic encephalopathy (HIE) in the setting of birth asphyxia.</w:t>
      </w:r>
    </w:p>
    <w:p w14:paraId="2674DD68" w14:textId="77777777" w:rsidR="002E7FC2" w:rsidRPr="002E7FC2" w:rsidRDefault="002E7FC2" w:rsidP="002E7FC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Focal dilatation of posterior horns of bilateral lateral ventricles with surrounding gliotic changes and crowding of sulci/gyri suggest chronic parenchymal injury and volume loss.</w:t>
      </w:r>
    </w:p>
    <w:p w14:paraId="08310532" w14:textId="77777777" w:rsidR="002E7FC2" w:rsidRPr="002E7FC2" w:rsidRDefault="002E7FC2" w:rsidP="002E7FC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E7F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66D86A1">
          <v:rect id="_x0000_i1028" style="width:0;height:1.5pt" o:hralign="center" o:hrstd="t" o:hr="t" fillcolor="#a0a0a0" stroked="f"/>
        </w:pict>
      </w:r>
    </w:p>
    <w:p w14:paraId="36D6DD13" w14:textId="502B5B26" w:rsidR="00EC45C0" w:rsidRDefault="0057793B" w:rsidP="002E7FC2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46EE8D1D">
            <wp:simplePos x="0" y="0"/>
            <wp:positionH relativeFrom="column">
              <wp:posOffset>4476750</wp:posOffset>
            </wp:positionH>
            <wp:positionV relativeFrom="paragraph">
              <wp:posOffset>539750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803A4"/>
    <w:multiLevelType w:val="multilevel"/>
    <w:tmpl w:val="D9A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04326"/>
    <w:multiLevelType w:val="multilevel"/>
    <w:tmpl w:val="7784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1"/>
  </w:num>
  <w:num w:numId="2" w16cid:durableId="1487358744">
    <w:abstractNumId w:val="0"/>
  </w:num>
  <w:num w:numId="3" w16cid:durableId="926691075">
    <w:abstractNumId w:val="2"/>
  </w:num>
  <w:num w:numId="4" w16cid:durableId="2131625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2E7FC2"/>
    <w:rsid w:val="00301BBB"/>
    <w:rsid w:val="003B41C1"/>
    <w:rsid w:val="003D2264"/>
    <w:rsid w:val="003D3585"/>
    <w:rsid w:val="00417DF9"/>
    <w:rsid w:val="0043261B"/>
    <w:rsid w:val="00487630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35641"/>
    <w:rsid w:val="00891850"/>
    <w:rsid w:val="008A1095"/>
    <w:rsid w:val="00931996"/>
    <w:rsid w:val="0093686A"/>
    <w:rsid w:val="009522C4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F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FC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2026-01-10T09:45:00Z</cp:lastPrinted>
  <dcterms:created xsi:type="dcterms:W3CDTF">2026-01-10T09:46:00Z</dcterms:created>
  <dcterms:modified xsi:type="dcterms:W3CDTF">2026-01-10T09:46:00Z</dcterms:modified>
</cp:coreProperties>
</file>