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99A3" w14:textId="77777777" w:rsidR="00000000" w:rsidRDefault="00000000">
      <w:pPr>
        <w:divId w:val="1416315770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4D49BAC9" w14:textId="77777777" w:rsidR="00000000" w:rsidRDefault="00000000">
      <w:pPr>
        <w:divId w:val="1293440754"/>
        <w:rPr>
          <w:rFonts w:eastAsia="Times New Roman"/>
          <w:sz w:val="18"/>
          <w:szCs w:val="18"/>
          <w:lang w:val="en"/>
        </w:rPr>
      </w:pPr>
    </w:p>
    <w:p w14:paraId="5D9364B5" w14:textId="77777777" w:rsidR="00DB28F2" w:rsidRDefault="00DB28F2">
      <w:pPr>
        <w:divId w:val="1293440754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655"/>
        <w:gridCol w:w="1654"/>
        <w:gridCol w:w="1878"/>
      </w:tblGrid>
      <w:tr w:rsidR="00000000" w14:paraId="367EEB82" w14:textId="77777777">
        <w:trPr>
          <w:divId w:val="32613035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F902E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B0269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PURUSHOTTAM YADAV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85DD8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5104B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052516/32</w:t>
            </w:r>
          </w:p>
        </w:tc>
      </w:tr>
      <w:tr w:rsidR="00000000" w14:paraId="591177DA" w14:textId="77777777">
        <w:trPr>
          <w:divId w:val="32613035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DA109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Age/D.</w:t>
            </w:r>
            <w:proofErr w:type="gramStart"/>
            <w:r>
              <w:rPr>
                <w:sz w:val="18"/>
                <w:szCs w:val="18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A2B3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002Y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96AFE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A746E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000000" w14:paraId="23EF7839" w14:textId="77777777">
        <w:trPr>
          <w:divId w:val="32613035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C283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5C6AC" w14:textId="163BF80A" w:rsidR="00000000" w:rsidRDefault="00DB28F2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AIIMS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39F55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45A79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May 25</w:t>
            </w:r>
          </w:p>
        </w:tc>
      </w:tr>
    </w:tbl>
    <w:p w14:paraId="34E3F940" w14:textId="77777777" w:rsidR="00000000" w:rsidRPr="00DB28F2" w:rsidRDefault="00000000" w:rsidP="00DB28F2">
      <w:pPr>
        <w:pStyle w:val="report-title"/>
        <w:spacing w:before="0" w:after="0"/>
        <w:divId w:val="1680810349"/>
        <w:rPr>
          <w:sz w:val="32"/>
          <w:szCs w:val="28"/>
          <w:u w:val="single"/>
          <w:lang w:val="en"/>
        </w:rPr>
      </w:pPr>
      <w:r w:rsidRPr="00DB28F2">
        <w:rPr>
          <w:sz w:val="32"/>
          <w:szCs w:val="28"/>
          <w:u w:val="single"/>
          <w:lang w:val="en"/>
        </w:rPr>
        <w:t>MRI Brain Plain</w:t>
      </w:r>
    </w:p>
    <w:p w14:paraId="2234C16A" w14:textId="77777777" w:rsidR="00000000" w:rsidRDefault="00000000">
      <w:pPr>
        <w:pStyle w:val="section-title"/>
        <w:divId w:val="1331832011"/>
        <w:rPr>
          <w:lang w:val="en"/>
        </w:rPr>
      </w:pPr>
      <w:r>
        <w:rPr>
          <w:lang w:val="en"/>
        </w:rPr>
        <w:t>Technique</w:t>
      </w:r>
    </w:p>
    <w:p w14:paraId="5CECCCC2" w14:textId="18A3055E" w:rsidR="00000000" w:rsidRDefault="00000000">
      <w:pPr>
        <w:pStyle w:val="section-paragraph"/>
        <w:divId w:val="1331832011"/>
        <w:rPr>
          <w:lang w:val="en"/>
        </w:rPr>
      </w:pPr>
      <w:r>
        <w:rPr>
          <w:b/>
          <w:bCs/>
          <w:lang w:val="en"/>
        </w:rPr>
        <w:t>T1W Sagittal, Dwi- b0, b500, b1000.</w:t>
      </w:r>
      <w:r w:rsidR="00DB28F2" w:rsidRPr="00DB28F2">
        <w:rPr>
          <w:b/>
          <w:bCs/>
          <w:lang w:val="en"/>
        </w:rPr>
        <w:t xml:space="preserve"> </w:t>
      </w:r>
      <w:r w:rsidR="00DB28F2">
        <w:rPr>
          <w:b/>
          <w:bCs/>
          <w:lang w:val="en"/>
        </w:rPr>
        <w:t>T2W Axial, Flair Coronal.</w:t>
      </w:r>
    </w:p>
    <w:p w14:paraId="30736B1F" w14:textId="77777777" w:rsidR="00000000" w:rsidRDefault="00000000">
      <w:pPr>
        <w:pStyle w:val="section-title"/>
        <w:divId w:val="340670445"/>
        <w:rPr>
          <w:lang w:val="en"/>
        </w:rPr>
      </w:pPr>
      <w:r>
        <w:rPr>
          <w:lang w:val="en"/>
        </w:rPr>
        <w:t>Observations</w:t>
      </w:r>
    </w:p>
    <w:p w14:paraId="56E16046" w14:textId="29F91893" w:rsidR="00000000" w:rsidRDefault="00000000">
      <w:pPr>
        <w:pStyle w:val="section-paragraph"/>
        <w:divId w:val="340670445"/>
        <w:rPr>
          <w:lang w:val="en"/>
        </w:rPr>
      </w:pPr>
      <w:r>
        <w:rPr>
          <w:b/>
          <w:bCs/>
          <w:lang w:val="en"/>
        </w:rPr>
        <w:t>Evidence of T2W hyperintensity (</w:t>
      </w:r>
      <w:r w:rsidR="00DB28F2">
        <w:rPr>
          <w:b/>
          <w:bCs/>
          <w:lang w:val="en"/>
        </w:rPr>
        <w:t>CSF</w:t>
      </w:r>
      <w:r>
        <w:rPr>
          <w:b/>
          <w:bCs/>
          <w:lang w:val="en"/>
        </w:rPr>
        <w:t xml:space="preserve"> signal in all sequence) </w:t>
      </w:r>
      <w:r w:rsidR="00DB28F2">
        <w:rPr>
          <w:b/>
          <w:bCs/>
          <w:lang w:val="en"/>
        </w:rPr>
        <w:t xml:space="preserve">in </w:t>
      </w:r>
      <w:r>
        <w:rPr>
          <w:b/>
          <w:bCs/>
          <w:lang w:val="en"/>
        </w:rPr>
        <w:t xml:space="preserve">bilateral </w:t>
      </w:r>
      <w:proofErr w:type="spellStart"/>
      <w:r>
        <w:rPr>
          <w:b/>
          <w:bCs/>
          <w:lang w:val="en"/>
        </w:rPr>
        <w:t>fronto</w:t>
      </w:r>
      <w:proofErr w:type="spellEnd"/>
      <w:r>
        <w:rPr>
          <w:b/>
          <w:bCs/>
          <w:lang w:val="en"/>
        </w:rPr>
        <w:t xml:space="preserve"> parietal lobe and bilateral insular cortex with ex vacu</w:t>
      </w:r>
      <w:r w:rsidR="00DB28F2">
        <w:rPr>
          <w:b/>
          <w:bCs/>
          <w:lang w:val="en"/>
        </w:rPr>
        <w:t>o</w:t>
      </w:r>
      <w:r>
        <w:rPr>
          <w:b/>
          <w:bCs/>
          <w:lang w:val="en"/>
        </w:rPr>
        <w:t xml:space="preserve"> dilatation of bilateral lateral ventricle.</w:t>
      </w:r>
    </w:p>
    <w:p w14:paraId="1F37395E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b/>
          <w:bCs/>
          <w:lang w:val="en"/>
        </w:rPr>
        <w:t>No evidence of acute infarct, hemorrhage or space occupying mass lesion noted.</w:t>
      </w:r>
    </w:p>
    <w:p w14:paraId="24A0A01E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The thalami, basal ganglia and internal capsules are normal on both sides.</w:t>
      </w:r>
    </w:p>
    <w:p w14:paraId="412B77FD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The ventricles and sulci are normal for the age.</w:t>
      </w:r>
    </w:p>
    <w:p w14:paraId="3BA6FDA0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105CBF5D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The posterior fossa shows normal cerebellum.</w:t>
      </w:r>
    </w:p>
    <w:p w14:paraId="51261D43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The medulla, pons and mid-brain shows normal signals in all the sequences.</w:t>
      </w:r>
    </w:p>
    <w:p w14:paraId="3E3D824F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58BCEAE9" w14:textId="77777777" w:rsidR="00000000" w:rsidRDefault="00000000">
      <w:pPr>
        <w:pStyle w:val="section-paragraph"/>
        <w:divId w:val="340670445"/>
        <w:rPr>
          <w:lang w:val="en"/>
        </w:rPr>
      </w:pPr>
      <w:r>
        <w:rPr>
          <w:lang w:val="en"/>
        </w:rPr>
        <w:t>Normal flow void is seen in the major dural venous sinuses and arteries</w:t>
      </w:r>
    </w:p>
    <w:p w14:paraId="628CE128" w14:textId="77777777" w:rsidR="00000000" w:rsidRDefault="00000000">
      <w:pPr>
        <w:pStyle w:val="section-title"/>
        <w:divId w:val="1893080438"/>
        <w:rPr>
          <w:lang w:val="en"/>
        </w:rPr>
      </w:pPr>
      <w:r>
        <w:rPr>
          <w:lang w:val="en"/>
        </w:rPr>
        <w:t>Impression</w:t>
      </w:r>
    </w:p>
    <w:p w14:paraId="4E56211A" w14:textId="77777777" w:rsidR="00DB28F2" w:rsidRPr="00DB28F2" w:rsidRDefault="00DB28F2">
      <w:pPr>
        <w:pStyle w:val="list-item"/>
        <w:numPr>
          <w:ilvl w:val="0"/>
          <w:numId w:val="1"/>
        </w:numPr>
        <w:divId w:val="1893080438"/>
        <w:rPr>
          <w:lang w:val="en"/>
        </w:rPr>
      </w:pPr>
      <w:r>
        <w:rPr>
          <w:b/>
          <w:bCs/>
          <w:lang w:val="en"/>
        </w:rPr>
        <w:t xml:space="preserve">EVIDENCE OF T2W HYPERINTENSITY (CSF SIGNAL IN ALL SEQUENCE) BILATERAL FRONTO PARIETAL LOBE AND BILATERAL INSULAR CORTEX WITH EX VACUA DILATATION OF BILATERAL LATERAL VENTRICLE.         </w:t>
      </w:r>
    </w:p>
    <w:p w14:paraId="51A6A6AE" w14:textId="71F11243" w:rsidR="00000000" w:rsidRDefault="00DB28F2" w:rsidP="00DB28F2">
      <w:pPr>
        <w:pStyle w:val="list-item"/>
        <w:ind w:left="720"/>
        <w:divId w:val="1893080438"/>
        <w:rPr>
          <w:lang w:val="en"/>
        </w:rPr>
      </w:pPr>
      <w:r>
        <w:rPr>
          <w:b/>
          <w:bCs/>
          <w:lang w:val="en"/>
        </w:rPr>
        <w:t xml:space="preserve">                         D/</w:t>
      </w:r>
      <w:proofErr w:type="gramStart"/>
      <w:r>
        <w:rPr>
          <w:b/>
          <w:bCs/>
          <w:lang w:val="en"/>
        </w:rPr>
        <w:t>D  HYPOXIC</w:t>
      </w:r>
      <w:proofErr w:type="gramEnd"/>
      <w:r>
        <w:rPr>
          <w:b/>
          <w:bCs/>
          <w:lang w:val="en"/>
        </w:rPr>
        <w:t xml:space="preserve"> ISCHEMIC ENCEPHALOPATHY </w:t>
      </w:r>
    </w:p>
    <w:p w14:paraId="7D7A1CB6" w14:textId="77777777" w:rsidR="00DB28F2" w:rsidRPr="00DB28F2" w:rsidRDefault="00DB28F2" w:rsidP="00DB28F2">
      <w:pPr>
        <w:pStyle w:val="sc-dycyrt"/>
        <w:spacing w:after="240" w:afterAutospacing="0"/>
        <w:ind w:left="720"/>
        <w:divId w:val="1907566698"/>
        <w:rPr>
          <w:rFonts w:ascii="Segoe UI" w:hAnsi="Segoe UI" w:cs="Segoe UI"/>
          <w:b/>
          <w:bCs/>
          <w:sz w:val="21"/>
          <w:szCs w:val="21"/>
        </w:rPr>
      </w:pPr>
      <w:r w:rsidRPr="00DB28F2">
        <w:rPr>
          <w:rStyle w:val="sc-lizkof"/>
          <w:rFonts w:ascii="Segoe UI" w:hAnsi="Segoe UI" w:cs="Segoe UI"/>
          <w:b/>
          <w:bCs/>
          <w:sz w:val="21"/>
          <w:szCs w:val="21"/>
        </w:rPr>
        <w:t>Correlate with clinical history focusing on perinatal events, developmental milestones, and neurological examination to support hypoxic ischemic injury</w:t>
      </w:r>
    </w:p>
    <w:p w14:paraId="715E8057" w14:textId="2F6B57B2" w:rsidR="00DB28F2" w:rsidRPr="00DB28F2" w:rsidRDefault="00DB28F2" w:rsidP="00DB28F2">
      <w:pPr>
        <w:pStyle w:val="sc-dycyrt"/>
        <w:spacing w:before="0" w:after="240" w:afterAutospacing="0"/>
        <w:ind w:left="720"/>
        <w:divId w:val="1907566698"/>
        <w:rPr>
          <w:rFonts w:ascii="Segoe UI" w:hAnsi="Segoe UI" w:cs="Segoe UI"/>
          <w:b/>
          <w:bCs/>
          <w:sz w:val="21"/>
          <w:szCs w:val="21"/>
        </w:rPr>
      </w:pPr>
      <w:r w:rsidRPr="00DB28F2">
        <w:rPr>
          <w:rStyle w:val="sc-lizkof"/>
          <w:rFonts w:ascii="Segoe UI" w:hAnsi="Segoe UI" w:cs="Segoe UI"/>
          <w:b/>
          <w:bCs/>
          <w:sz w:val="21"/>
          <w:szCs w:val="21"/>
        </w:rPr>
        <w:t>Recommend follow-up MRI in 6-12 months to assess progression or stability of white matter changes</w:t>
      </w:r>
    </w:p>
    <w:sectPr w:rsidR="00DB28F2" w:rsidRPr="00DB28F2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34"/>
    <w:multiLevelType w:val="multilevel"/>
    <w:tmpl w:val="CFE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7F7C"/>
    <w:multiLevelType w:val="multilevel"/>
    <w:tmpl w:val="2BA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1737">
    <w:abstractNumId w:val="1"/>
  </w:num>
  <w:num w:numId="2" w16cid:durableId="6716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EB"/>
    <w:rsid w:val="002F35EB"/>
    <w:rsid w:val="00DB28F2"/>
    <w:rsid w:val="00EE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E332"/>
  <w15:docId w15:val="{F118D732-056B-4121-8ADD-23FB7F2E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  <w:style w:type="paragraph" w:customStyle="1" w:styleId="sc-dycyrt">
    <w:name w:val="sc-dycyrt"/>
    <w:basedOn w:val="Normal"/>
    <w:rsid w:val="00DB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c-lizkof">
    <w:name w:val="sc-lizkof"/>
    <w:basedOn w:val="DefaultParagraphFont"/>
    <w:rsid w:val="00DB2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440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05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6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8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4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629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05986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93681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2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42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23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56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dcterms:created xsi:type="dcterms:W3CDTF">2025-05-17T05:01:00Z</dcterms:created>
  <dcterms:modified xsi:type="dcterms:W3CDTF">2025-05-17T05:01:00Z</dcterms:modified>
</cp:coreProperties>
</file>