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96A96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003AE133" w14:textId="6570B019" w:rsidR="00FD584B" w:rsidRPr="004358B0" w:rsidRDefault="00FD584B" w:rsidP="00EE0604">
      <w:pPr>
        <w:spacing w:after="0" w:line="240" w:lineRule="auto"/>
        <w:rPr>
          <w:rFonts w:ascii="Gautami" w:hAnsi="Gautami" w:cs="Gautami"/>
          <w:b/>
          <w:caps/>
          <w:szCs w:val="18"/>
        </w:rPr>
      </w:pPr>
      <w:bookmarkStart w:id="0" w:name="_Hlk210906110"/>
      <w:r w:rsidRPr="004358B0">
        <w:rPr>
          <w:rFonts w:ascii="Gautami" w:hAnsi="Gautami" w:cs="Gautami"/>
          <w:b/>
          <w:szCs w:val="18"/>
        </w:rPr>
        <w:t>Nam</w:t>
      </w:r>
      <w:r w:rsidR="001E460C">
        <w:rPr>
          <w:rFonts w:ascii="Gautami" w:hAnsi="Gautami" w:cs="Gautami"/>
          <w:b/>
          <w:szCs w:val="18"/>
        </w:rPr>
        <w:t xml:space="preserve">e: </w:t>
      </w:r>
      <w:r w:rsidR="00EE0604">
        <w:rPr>
          <w:rFonts w:ascii="Gautami" w:hAnsi="Gautami" w:cs="Gautami"/>
          <w:b/>
          <w:szCs w:val="18"/>
        </w:rPr>
        <w:t>MD KASIF</w:t>
      </w:r>
      <w:r w:rsidR="001E460C">
        <w:rPr>
          <w:rFonts w:ascii="Gautami" w:hAnsi="Gautami" w:cs="Gautami"/>
          <w:b/>
          <w:szCs w:val="18"/>
        </w:rPr>
        <w:t xml:space="preserve">                      </w:t>
      </w:r>
      <w:r w:rsidRPr="004358B0">
        <w:rPr>
          <w:rFonts w:ascii="Gautami" w:hAnsi="Gautami" w:cs="Gautami"/>
          <w:b/>
          <w:szCs w:val="18"/>
        </w:rPr>
        <w:t xml:space="preserve">Age:  </w:t>
      </w:r>
      <w:r w:rsidR="00A13D60">
        <w:rPr>
          <w:rFonts w:ascii="Gautami" w:hAnsi="Gautami" w:cs="Gautami"/>
          <w:b/>
          <w:szCs w:val="18"/>
        </w:rPr>
        <w:t>1</w:t>
      </w:r>
      <w:r w:rsidR="00EE0604">
        <w:rPr>
          <w:rFonts w:ascii="Gautami" w:hAnsi="Gautami" w:cs="Gautami"/>
          <w:b/>
          <w:szCs w:val="18"/>
        </w:rPr>
        <w:t>2</w:t>
      </w:r>
      <w:r>
        <w:rPr>
          <w:rFonts w:ascii="Gautami" w:hAnsi="Gautami" w:cs="Gautami"/>
          <w:b/>
          <w:szCs w:val="18"/>
        </w:rPr>
        <w:t xml:space="preserve"> Y</w:t>
      </w:r>
      <w:r w:rsidRPr="004358B0">
        <w:rPr>
          <w:rFonts w:ascii="Gautami" w:hAnsi="Gautami" w:cs="Gautami"/>
          <w:b/>
          <w:szCs w:val="18"/>
        </w:rPr>
        <w:t xml:space="preserve">                     Sex:  </w:t>
      </w:r>
      <w:r w:rsidR="00EE0604">
        <w:rPr>
          <w:rFonts w:ascii="Gautami" w:hAnsi="Gautami" w:cs="Gautami"/>
          <w:b/>
          <w:szCs w:val="18"/>
        </w:rPr>
        <w:t>M</w:t>
      </w:r>
    </w:p>
    <w:p w14:paraId="6DDE19CC" w14:textId="6B900250" w:rsidR="00FD584B" w:rsidRPr="004358B0" w:rsidRDefault="00FD584B" w:rsidP="00EE0604">
      <w:pPr>
        <w:spacing w:after="0" w:line="240" w:lineRule="auto"/>
        <w:rPr>
          <w:rFonts w:ascii="Gautami" w:hAnsi="Gautami" w:cs="Gautami"/>
          <w:b/>
          <w:szCs w:val="18"/>
        </w:rPr>
      </w:pPr>
      <w:r w:rsidRPr="004358B0">
        <w:rPr>
          <w:rFonts w:ascii="Gautami" w:hAnsi="Gautami" w:cs="Gautami"/>
          <w:b/>
          <w:szCs w:val="18"/>
        </w:rPr>
        <w:t xml:space="preserve">As Advised By: </w:t>
      </w:r>
      <w:r>
        <w:rPr>
          <w:rFonts w:ascii="Gautami" w:hAnsi="Gautami" w:cs="Gautami"/>
          <w:b/>
          <w:szCs w:val="18"/>
        </w:rPr>
        <w:t xml:space="preserve">DR </w:t>
      </w:r>
      <w:r w:rsidR="00EE0604">
        <w:rPr>
          <w:rFonts w:ascii="Gautami" w:hAnsi="Gautami" w:cs="Gautami"/>
          <w:b/>
          <w:szCs w:val="18"/>
        </w:rPr>
        <w:t xml:space="preserve">SATISH THAKUR MD   </w:t>
      </w:r>
      <w:r w:rsidR="00B221DD">
        <w:rPr>
          <w:rFonts w:ascii="Gautami" w:hAnsi="Gautami" w:cs="Gautami"/>
          <w:b/>
          <w:szCs w:val="18"/>
        </w:rPr>
        <w:t xml:space="preserve">           </w:t>
      </w:r>
      <w:r w:rsidRPr="004358B0">
        <w:rPr>
          <w:rFonts w:ascii="Gautami" w:hAnsi="Gautami" w:cs="Gautami"/>
          <w:b/>
          <w:szCs w:val="18"/>
        </w:rPr>
        <w:t xml:space="preserve">          </w:t>
      </w:r>
      <w:r>
        <w:rPr>
          <w:rFonts w:ascii="Gautami" w:hAnsi="Gautami" w:cs="Gautami"/>
          <w:b/>
          <w:szCs w:val="18"/>
        </w:rPr>
        <w:t xml:space="preserve">        </w:t>
      </w:r>
      <w:r w:rsidRPr="004358B0">
        <w:rPr>
          <w:rFonts w:ascii="Gautami" w:hAnsi="Gautami" w:cs="Gautami"/>
          <w:b/>
          <w:szCs w:val="18"/>
        </w:rPr>
        <w:t xml:space="preserve"> </w:t>
      </w:r>
      <w:r>
        <w:rPr>
          <w:rFonts w:ascii="Gautami" w:hAnsi="Gautami" w:cs="Gautami"/>
          <w:b/>
          <w:szCs w:val="18"/>
        </w:rPr>
        <w:t xml:space="preserve">     </w:t>
      </w:r>
      <w:r w:rsidRPr="004358B0">
        <w:rPr>
          <w:rFonts w:ascii="Gautami" w:hAnsi="Gautami" w:cs="Gautami"/>
          <w:b/>
          <w:szCs w:val="18"/>
        </w:rPr>
        <w:t xml:space="preserve"> Date of Report: </w:t>
      </w:r>
      <w:r w:rsidR="009D2172" w:rsidRPr="004358B0">
        <w:rPr>
          <w:rFonts w:ascii="Gautami" w:hAnsi="Gautami" w:cs="Gautami"/>
          <w:b/>
          <w:szCs w:val="18"/>
        </w:rPr>
        <w:fldChar w:fldCharType="begin"/>
      </w:r>
      <w:r w:rsidRPr="004358B0">
        <w:rPr>
          <w:rFonts w:ascii="Gautami" w:hAnsi="Gautami" w:cs="Gautami"/>
          <w:b/>
          <w:szCs w:val="18"/>
        </w:rPr>
        <w:instrText xml:space="preserve"> DATE \@ "d-MMM-yy" </w:instrText>
      </w:r>
      <w:r w:rsidR="009D2172" w:rsidRPr="004358B0">
        <w:rPr>
          <w:rFonts w:ascii="Gautami" w:hAnsi="Gautami" w:cs="Gautami"/>
          <w:b/>
          <w:szCs w:val="18"/>
        </w:rPr>
        <w:fldChar w:fldCharType="separate"/>
      </w:r>
      <w:r w:rsidR="00EE0604">
        <w:rPr>
          <w:rFonts w:ascii="Gautami" w:hAnsi="Gautami" w:cs="Gautami"/>
          <w:b/>
          <w:noProof/>
          <w:szCs w:val="18"/>
        </w:rPr>
        <w:t>9-Oct-25</w:t>
      </w:r>
      <w:r w:rsidR="009D2172" w:rsidRPr="004358B0">
        <w:rPr>
          <w:rFonts w:ascii="Gautami" w:hAnsi="Gautami" w:cs="Gautami"/>
          <w:b/>
          <w:szCs w:val="18"/>
        </w:rPr>
        <w:fldChar w:fldCharType="end"/>
      </w:r>
    </w:p>
    <w:p w14:paraId="510E4F0C" w14:textId="3E617DD8" w:rsidR="00B53913" w:rsidRPr="00B221DD" w:rsidRDefault="00FD584B" w:rsidP="00EE0604">
      <w:pPr>
        <w:spacing w:after="0" w:line="240" w:lineRule="auto"/>
        <w:rPr>
          <w:rFonts w:ascii="Gautami" w:hAnsi="Gautami" w:cs="Gautami"/>
          <w:b/>
          <w:sz w:val="16"/>
          <w:szCs w:val="20"/>
        </w:rPr>
      </w:pPr>
      <w:r w:rsidRPr="004358B0">
        <w:rPr>
          <w:rFonts w:ascii="Gautami" w:hAnsi="Gautami" w:cs="Gautami"/>
          <w:b/>
          <w:sz w:val="20"/>
          <w:szCs w:val="20"/>
        </w:rPr>
        <w:t>=============================================================</w:t>
      </w:r>
      <w:r w:rsidR="00F91835">
        <w:rPr>
          <w:rFonts w:ascii="Gautami" w:hAnsi="Gautami" w:cs="Gautami"/>
          <w:b/>
          <w:sz w:val="20"/>
          <w:szCs w:val="20"/>
        </w:rPr>
        <w:t>=======================</w:t>
      </w:r>
      <w:r w:rsidRPr="004358B0">
        <w:rPr>
          <w:rFonts w:ascii="Gautami" w:hAnsi="Gautami" w:cs="Gautami"/>
          <w:sz w:val="16"/>
          <w:szCs w:val="20"/>
        </w:rPr>
        <w:t xml:space="preserve"> </w:t>
      </w:r>
      <w:bookmarkEnd w:id="0"/>
    </w:p>
    <w:p w14:paraId="42BEFE02" w14:textId="39295640" w:rsidR="00B53913" w:rsidRPr="00333438" w:rsidRDefault="00B221DD" w:rsidP="00333438">
      <w:pPr>
        <w:pStyle w:val="Heading1"/>
        <w:rPr>
          <w:b/>
          <w:sz w:val="26"/>
          <w:szCs w:val="22"/>
        </w:rPr>
      </w:pPr>
      <w:r w:rsidRPr="00333438">
        <w:rPr>
          <w:b/>
          <w:sz w:val="26"/>
          <w:szCs w:val="22"/>
        </w:rPr>
        <w:t>CE-</w:t>
      </w:r>
      <w:r w:rsidR="00B53913" w:rsidRPr="00333438">
        <w:rPr>
          <w:b/>
          <w:sz w:val="26"/>
          <w:szCs w:val="22"/>
        </w:rPr>
        <w:t>M.R.I. STUDY OF BRAIN</w:t>
      </w:r>
    </w:p>
    <w:p w14:paraId="1EC9F0F5" w14:textId="52B82408" w:rsidR="00877F80" w:rsidRPr="00AF6D47" w:rsidRDefault="00877F80" w:rsidP="00877F80">
      <w:pPr>
        <w:spacing w:after="0" w:line="240" w:lineRule="auto"/>
        <w:jc w:val="both"/>
        <w:rPr>
          <w:rFonts w:ascii="Bookman Old Style" w:hAnsi="Bookman Old Style" w:cs="Mangal"/>
          <w:bCs/>
          <w:sz w:val="24"/>
          <w:szCs w:val="24"/>
        </w:rPr>
      </w:pPr>
      <w:r>
        <w:rPr>
          <w:rFonts w:ascii="Bookman Old Style" w:hAnsi="Bookman Old Style" w:cs="Mangal"/>
          <w:b/>
          <w:bCs/>
          <w:sz w:val="24"/>
          <w:szCs w:val="24"/>
          <w:lang w:val="en-IN"/>
        </w:rPr>
        <w:t>T</w:t>
      </w:r>
      <w:r w:rsidRPr="00AF6D47">
        <w:rPr>
          <w:rFonts w:ascii="Bookman Old Style" w:hAnsi="Bookman Old Style" w:cs="Mangal"/>
          <w:b/>
          <w:bCs/>
          <w:sz w:val="24"/>
          <w:szCs w:val="24"/>
          <w:lang w:val="en-IN"/>
        </w:rPr>
        <w:t>ECHNIQUE:</w:t>
      </w:r>
      <w:r w:rsidRPr="00AF6D47">
        <w:rPr>
          <w:rFonts w:ascii="Bookman Old Style" w:hAnsi="Bookman Old Style" w:cs="Mangal"/>
          <w:b/>
          <w:sz w:val="24"/>
          <w:szCs w:val="24"/>
          <w:lang w:val="en-IN"/>
        </w:rPr>
        <w:t xml:space="preserve"> </w:t>
      </w:r>
      <w:r w:rsidRPr="00AF6D47">
        <w:rPr>
          <w:rFonts w:ascii="Bookman Old Style" w:hAnsi="Bookman Old Style" w:cs="Mangal"/>
          <w:bCs/>
          <w:sz w:val="24"/>
          <w:szCs w:val="24"/>
          <w:lang w:val="en-IN"/>
        </w:rPr>
        <w:t>Multiplanar, multisequence CE-MRI of the brain was performed. Sequences included axial T1W, T2W, and FLAIR; sagittal T1W; and coronal T2W, with intravenous administration of Gadolinium contrast.</w:t>
      </w:r>
    </w:p>
    <w:p w14:paraId="1BA114ED" w14:textId="77777777" w:rsidR="00AF6D47" w:rsidRPr="00AF6D47" w:rsidRDefault="00AF6D47" w:rsidP="00AF6D47">
      <w:pPr>
        <w:spacing w:after="0" w:line="360" w:lineRule="auto"/>
        <w:jc w:val="both"/>
        <w:rPr>
          <w:rFonts w:ascii="Bookman Old Style" w:hAnsi="Bookman Old Style" w:cs="Mangal"/>
          <w:b/>
          <w:sz w:val="24"/>
          <w:szCs w:val="24"/>
          <w:lang w:val="en-IN"/>
        </w:rPr>
      </w:pPr>
      <w:r w:rsidRPr="00AF6D47">
        <w:rPr>
          <w:rFonts w:ascii="Bookman Old Style" w:hAnsi="Bookman Old Style" w:cs="Mangal"/>
          <w:b/>
          <w:sz w:val="24"/>
          <w:szCs w:val="24"/>
          <w:lang w:val="en-IN"/>
        </w:rPr>
        <w:pict w14:anchorId="0D801F61">
          <v:rect id="_x0000_i1037" style="width:0;height:1.5pt" o:hralign="center" o:hrstd="t" o:hr="t" fillcolor="#a0a0a0" stroked="f"/>
        </w:pict>
      </w:r>
    </w:p>
    <w:p w14:paraId="0DAC7F2C" w14:textId="77777777" w:rsidR="00AF6D47" w:rsidRPr="00AF6D47" w:rsidRDefault="00AF6D47" w:rsidP="00AF6D47">
      <w:pPr>
        <w:spacing w:after="0" w:line="360" w:lineRule="auto"/>
        <w:jc w:val="both"/>
        <w:rPr>
          <w:rFonts w:ascii="Bookman Old Style" w:hAnsi="Bookman Old Style" w:cs="Mangal"/>
          <w:b/>
          <w:bCs/>
          <w:sz w:val="24"/>
          <w:szCs w:val="24"/>
          <w:lang w:val="en-IN"/>
        </w:rPr>
      </w:pPr>
      <w:r w:rsidRPr="00AF6D47">
        <w:rPr>
          <w:rFonts w:ascii="Bookman Old Style" w:hAnsi="Bookman Old Style" w:cs="Mangal"/>
          <w:b/>
          <w:bCs/>
          <w:sz w:val="24"/>
          <w:szCs w:val="24"/>
          <w:lang w:val="en-IN"/>
        </w:rPr>
        <w:t>FINDINGS</w:t>
      </w:r>
    </w:p>
    <w:p w14:paraId="2D9781DE" w14:textId="2B70895E" w:rsidR="00AF6D47" w:rsidRPr="00AF6D47" w:rsidRDefault="00AF6D47" w:rsidP="00866175">
      <w:pPr>
        <w:spacing w:after="0"/>
        <w:jc w:val="both"/>
        <w:rPr>
          <w:rFonts w:ascii="Bookman Old Style" w:hAnsi="Bookman Old Style" w:cs="Mangal"/>
          <w:b/>
          <w:sz w:val="24"/>
          <w:szCs w:val="24"/>
          <w:lang w:val="en-IN"/>
        </w:rPr>
      </w:pPr>
      <w:r w:rsidRPr="00AF6D47">
        <w:rPr>
          <w:rFonts w:ascii="Bookman Old Style" w:hAnsi="Bookman Old Style" w:cs="Mangal"/>
          <w:b/>
          <w:sz w:val="24"/>
          <w:szCs w:val="24"/>
          <w:lang w:val="en-IN"/>
        </w:rPr>
        <w:t xml:space="preserve">A solitary, sharply demarcated </w:t>
      </w:r>
      <w:r w:rsidRPr="00AF6D47">
        <w:rPr>
          <w:rFonts w:ascii="Bookman Old Style" w:hAnsi="Bookman Old Style" w:cs="Mangal"/>
          <w:b/>
          <w:bCs/>
          <w:sz w:val="24"/>
          <w:szCs w:val="24"/>
          <w:lang w:val="en-IN"/>
        </w:rPr>
        <w:t>hypointense lesion</w:t>
      </w:r>
      <w:r w:rsidRPr="00AF6D47">
        <w:rPr>
          <w:rFonts w:ascii="Bookman Old Style" w:hAnsi="Bookman Old Style" w:cs="Mangal"/>
          <w:b/>
          <w:sz w:val="24"/>
          <w:szCs w:val="24"/>
          <w:lang w:val="en-IN"/>
        </w:rPr>
        <w:t xml:space="preserve"> is identified in the </w:t>
      </w:r>
      <w:r w:rsidRPr="00AF6D47">
        <w:rPr>
          <w:rFonts w:ascii="Bookman Old Style" w:hAnsi="Bookman Old Style" w:cs="Mangal"/>
          <w:b/>
          <w:bCs/>
          <w:sz w:val="24"/>
          <w:szCs w:val="24"/>
          <w:lang w:val="en-IN"/>
        </w:rPr>
        <w:t>left high parietal lobe</w:t>
      </w:r>
      <w:r w:rsidRPr="00AF6D47">
        <w:rPr>
          <w:rFonts w:ascii="Bookman Old Style" w:hAnsi="Bookman Old Style" w:cs="Mangal"/>
          <w:b/>
          <w:sz w:val="24"/>
          <w:szCs w:val="24"/>
          <w:lang w:val="en-IN"/>
        </w:rPr>
        <w:t xml:space="preserve"> on T1-weighted images. This lesion demonstrates characteristic </w:t>
      </w:r>
      <w:r w:rsidRPr="00AF6D47">
        <w:rPr>
          <w:rFonts w:ascii="Bookman Old Style" w:hAnsi="Bookman Old Style" w:cs="Mangal"/>
          <w:b/>
          <w:bCs/>
          <w:sz w:val="24"/>
          <w:szCs w:val="24"/>
          <w:lang w:val="en-IN"/>
        </w:rPr>
        <w:t>ring enhancement</w:t>
      </w:r>
      <w:r w:rsidRPr="00AF6D47">
        <w:rPr>
          <w:rFonts w:ascii="Bookman Old Style" w:hAnsi="Bookman Old Style" w:cs="Mangal"/>
          <w:b/>
          <w:sz w:val="24"/>
          <w:szCs w:val="24"/>
          <w:lang w:val="en-IN"/>
        </w:rPr>
        <w:t xml:space="preserve"> on post-contrast T1W images. Significant </w:t>
      </w:r>
      <w:r w:rsidRPr="00AF6D47">
        <w:rPr>
          <w:rFonts w:ascii="Bookman Old Style" w:hAnsi="Bookman Old Style" w:cs="Mangal"/>
          <w:b/>
          <w:bCs/>
          <w:sz w:val="24"/>
          <w:szCs w:val="24"/>
          <w:lang w:val="en-IN"/>
        </w:rPr>
        <w:t xml:space="preserve">perilesional </w:t>
      </w:r>
      <w:proofErr w:type="spellStart"/>
      <w:r w:rsidRPr="00AF6D47">
        <w:rPr>
          <w:rFonts w:ascii="Bookman Old Style" w:hAnsi="Bookman Old Style" w:cs="Mangal"/>
          <w:b/>
          <w:bCs/>
          <w:sz w:val="24"/>
          <w:szCs w:val="24"/>
          <w:lang w:val="en-IN"/>
        </w:rPr>
        <w:t>edema</w:t>
      </w:r>
      <w:proofErr w:type="spellEnd"/>
      <w:r w:rsidRPr="00AF6D47">
        <w:rPr>
          <w:rFonts w:ascii="Bookman Old Style" w:hAnsi="Bookman Old Style" w:cs="Mangal"/>
          <w:b/>
          <w:sz w:val="24"/>
          <w:szCs w:val="24"/>
          <w:lang w:val="en-IN"/>
        </w:rPr>
        <w:t xml:space="preserve"> is evident surrounding the lesion, appearing hyperintense on T2W and FLAIR sequences. </w:t>
      </w:r>
    </w:p>
    <w:p w14:paraId="285DF50C" w14:textId="17529A8A" w:rsidR="00AF6D47" w:rsidRPr="00AF6D47" w:rsidRDefault="00AF6D47" w:rsidP="00866175">
      <w:pPr>
        <w:spacing w:after="0"/>
        <w:jc w:val="both"/>
        <w:rPr>
          <w:rFonts w:ascii="Bookman Old Style" w:hAnsi="Bookman Old Style" w:cs="Mangal"/>
          <w:bCs/>
          <w:sz w:val="24"/>
          <w:szCs w:val="24"/>
          <w:lang w:val="en-IN"/>
        </w:rPr>
      </w:pPr>
      <w:r w:rsidRPr="00AF6D47">
        <w:rPr>
          <w:rFonts w:ascii="Bookman Old Style" w:hAnsi="Bookman Old Style" w:cs="Mangal"/>
          <w:bCs/>
          <w:sz w:val="24"/>
          <w:szCs w:val="24"/>
          <w:lang w:val="en-IN"/>
        </w:rPr>
        <w:t>The ventricular system and basal cisterns are normal in size and configuration.</w:t>
      </w:r>
    </w:p>
    <w:p w14:paraId="378E8734" w14:textId="56FF6D3C" w:rsidR="00AF6D47" w:rsidRPr="00AF6D47" w:rsidRDefault="00AF6D47" w:rsidP="00866175">
      <w:pPr>
        <w:spacing w:after="0"/>
        <w:jc w:val="both"/>
        <w:rPr>
          <w:rFonts w:ascii="Bookman Old Style" w:hAnsi="Bookman Old Style" w:cs="Mangal"/>
          <w:bCs/>
          <w:sz w:val="24"/>
          <w:szCs w:val="24"/>
          <w:lang w:val="en-IN"/>
        </w:rPr>
      </w:pPr>
      <w:r w:rsidRPr="00AF6D47">
        <w:rPr>
          <w:rFonts w:ascii="Bookman Old Style" w:hAnsi="Bookman Old Style" w:cs="Mangal"/>
          <w:bCs/>
          <w:sz w:val="24"/>
          <w:szCs w:val="24"/>
          <w:lang w:val="en-IN"/>
        </w:rPr>
        <w:t>There is no evidence of midline shift. Gray-white matter differentiation is preserved.</w:t>
      </w:r>
    </w:p>
    <w:p w14:paraId="71E5B86B" w14:textId="200E6D1E" w:rsidR="00AF6D47" w:rsidRPr="00AF6D47" w:rsidRDefault="00AF6D47" w:rsidP="00866175">
      <w:pPr>
        <w:spacing w:after="0"/>
        <w:jc w:val="both"/>
        <w:rPr>
          <w:rFonts w:ascii="Bookman Old Style" w:hAnsi="Bookman Old Style" w:cs="Mangal"/>
          <w:bCs/>
          <w:sz w:val="24"/>
          <w:szCs w:val="24"/>
          <w:lang w:val="en-IN"/>
        </w:rPr>
      </w:pPr>
      <w:r w:rsidRPr="00AF6D47">
        <w:rPr>
          <w:rFonts w:ascii="Bookman Old Style" w:hAnsi="Bookman Old Style" w:cs="Mangal"/>
          <w:bCs/>
          <w:sz w:val="24"/>
          <w:szCs w:val="24"/>
          <w:lang w:val="en-IN"/>
        </w:rPr>
        <w:t>The fissures and sulci are within normal limits. The brainstem, diencephalic structures, and cranio-cervical junction show normal morphology and signal intensity.</w:t>
      </w:r>
    </w:p>
    <w:p w14:paraId="14E0DB9B" w14:textId="77777777" w:rsidR="00AF6D47" w:rsidRPr="00AF6D47" w:rsidRDefault="00AF6D47" w:rsidP="00866175">
      <w:pPr>
        <w:spacing w:after="0"/>
        <w:jc w:val="both"/>
        <w:rPr>
          <w:rFonts w:ascii="Bookman Old Style" w:hAnsi="Bookman Old Style" w:cs="Mangal"/>
          <w:b/>
          <w:sz w:val="24"/>
          <w:szCs w:val="24"/>
          <w:lang w:val="en-IN"/>
        </w:rPr>
      </w:pPr>
      <w:r w:rsidRPr="00AF6D47">
        <w:rPr>
          <w:rFonts w:ascii="Bookman Old Style" w:hAnsi="Bookman Old Style" w:cs="Mangal"/>
          <w:b/>
          <w:sz w:val="24"/>
          <w:szCs w:val="24"/>
          <w:lang w:val="en-IN"/>
        </w:rPr>
        <w:pict w14:anchorId="07408A6F">
          <v:rect id="_x0000_i1038" style="width:0;height:1.5pt" o:hralign="center" o:hrstd="t" o:hr="t" fillcolor="#a0a0a0" stroked="f"/>
        </w:pict>
      </w:r>
    </w:p>
    <w:p w14:paraId="1155912B" w14:textId="77777777" w:rsidR="00AF6D47" w:rsidRPr="00AF6D47" w:rsidRDefault="00AF6D47" w:rsidP="00866175">
      <w:pPr>
        <w:spacing w:after="0"/>
        <w:jc w:val="both"/>
        <w:rPr>
          <w:rFonts w:ascii="Bookman Old Style" w:hAnsi="Bookman Old Style" w:cs="Mangal"/>
          <w:b/>
          <w:bCs/>
          <w:sz w:val="24"/>
          <w:szCs w:val="24"/>
          <w:lang w:val="en-IN"/>
        </w:rPr>
      </w:pPr>
      <w:r w:rsidRPr="00AF6D47">
        <w:rPr>
          <w:rFonts w:ascii="Bookman Old Style" w:hAnsi="Bookman Old Style" w:cs="Mangal"/>
          <w:b/>
          <w:bCs/>
          <w:sz w:val="24"/>
          <w:szCs w:val="24"/>
          <w:lang w:val="en-IN"/>
        </w:rPr>
        <w:t>IMPRESSION</w:t>
      </w:r>
    </w:p>
    <w:p w14:paraId="1AAED984" w14:textId="77777777" w:rsidR="00AF6D47" w:rsidRPr="00AF6D47" w:rsidRDefault="00AF6D47" w:rsidP="00866175">
      <w:pPr>
        <w:spacing w:after="0"/>
        <w:jc w:val="both"/>
        <w:rPr>
          <w:rFonts w:ascii="Bookman Old Style" w:hAnsi="Bookman Old Style" w:cs="Mangal"/>
          <w:b/>
          <w:sz w:val="24"/>
          <w:szCs w:val="24"/>
          <w:lang w:val="en-IN"/>
        </w:rPr>
      </w:pPr>
      <w:r w:rsidRPr="00AF6D47">
        <w:rPr>
          <w:rFonts w:ascii="Bookman Old Style" w:hAnsi="Bookman Old Style" w:cs="Mangal"/>
          <w:b/>
          <w:bCs/>
          <w:sz w:val="24"/>
          <w:szCs w:val="24"/>
          <w:lang w:val="en-IN"/>
        </w:rPr>
        <w:t xml:space="preserve">Solitary Ring-Enhancing Lesion with Significant Perilesional </w:t>
      </w:r>
      <w:proofErr w:type="spellStart"/>
      <w:r w:rsidRPr="00AF6D47">
        <w:rPr>
          <w:rFonts w:ascii="Bookman Old Style" w:hAnsi="Bookman Old Style" w:cs="Mangal"/>
          <w:b/>
          <w:bCs/>
          <w:sz w:val="24"/>
          <w:szCs w:val="24"/>
          <w:lang w:val="en-IN"/>
        </w:rPr>
        <w:t>Edema</w:t>
      </w:r>
      <w:proofErr w:type="spellEnd"/>
      <w:r w:rsidRPr="00AF6D47">
        <w:rPr>
          <w:rFonts w:ascii="Bookman Old Style" w:hAnsi="Bookman Old Style" w:cs="Mangal"/>
          <w:b/>
          <w:bCs/>
          <w:sz w:val="24"/>
          <w:szCs w:val="24"/>
          <w:lang w:val="en-IN"/>
        </w:rPr>
        <w:t xml:space="preserve"> in the Left High Parietal Lobe.</w:t>
      </w:r>
    </w:p>
    <w:p w14:paraId="3F506228" w14:textId="77777777" w:rsidR="00EE0604" w:rsidRDefault="00EE0604" w:rsidP="00866175">
      <w:pPr>
        <w:spacing w:after="0"/>
        <w:jc w:val="both"/>
        <w:rPr>
          <w:rFonts w:ascii="Bookman Old Style" w:hAnsi="Bookman Old Style" w:cs="Mangal"/>
          <w:b/>
          <w:bCs/>
          <w:sz w:val="24"/>
          <w:szCs w:val="24"/>
          <w:lang w:val="en-IN"/>
        </w:rPr>
      </w:pPr>
    </w:p>
    <w:p w14:paraId="40DB6DF3" w14:textId="7FFA45B0" w:rsidR="00AF6D47" w:rsidRPr="00AF6D47" w:rsidRDefault="00AF6D47" w:rsidP="00866175">
      <w:pPr>
        <w:spacing w:after="0"/>
        <w:jc w:val="both"/>
        <w:rPr>
          <w:rFonts w:ascii="Bookman Old Style" w:hAnsi="Bookman Old Style" w:cs="Mangal"/>
          <w:b/>
          <w:bCs/>
          <w:sz w:val="24"/>
          <w:szCs w:val="24"/>
          <w:u w:val="single"/>
          <w:lang w:val="en-IN"/>
        </w:rPr>
      </w:pPr>
      <w:r w:rsidRPr="00AF6D47">
        <w:rPr>
          <w:rFonts w:ascii="Bookman Old Style" w:hAnsi="Bookman Old Style" w:cs="Mangal"/>
          <w:b/>
          <w:bCs/>
          <w:sz w:val="24"/>
          <w:szCs w:val="24"/>
          <w:u w:val="single"/>
          <w:lang w:val="en-IN"/>
        </w:rPr>
        <w:t>DIFFERENTIAL DIAGNOSIS</w:t>
      </w:r>
    </w:p>
    <w:p w14:paraId="3D15EAAE" w14:textId="77777777" w:rsidR="00AF6D47" w:rsidRPr="00AF6D47" w:rsidRDefault="00AF6D47" w:rsidP="00866175">
      <w:pPr>
        <w:spacing w:after="0"/>
        <w:jc w:val="both"/>
        <w:rPr>
          <w:rFonts w:ascii="Bookman Old Style" w:hAnsi="Bookman Old Style" w:cs="Mangal"/>
          <w:b/>
          <w:sz w:val="24"/>
          <w:szCs w:val="24"/>
          <w:lang w:val="en-IN"/>
        </w:rPr>
      </w:pPr>
      <w:r w:rsidRPr="00AF6D47">
        <w:rPr>
          <w:rFonts w:ascii="Bookman Old Style" w:hAnsi="Bookman Old Style" w:cs="Mangal"/>
          <w:b/>
          <w:sz w:val="24"/>
          <w:szCs w:val="24"/>
          <w:lang w:val="en-IN"/>
        </w:rPr>
        <w:t>The imaging features are highly suggestive of an infectious or inflammatory granuloma, with the primary considerations being:</w:t>
      </w:r>
    </w:p>
    <w:p w14:paraId="0CD8E22A" w14:textId="5B2766E5" w:rsidR="00AF6D47" w:rsidRPr="00AF6D47" w:rsidRDefault="00EE0604" w:rsidP="00866175">
      <w:pPr>
        <w:numPr>
          <w:ilvl w:val="0"/>
          <w:numId w:val="1"/>
        </w:numPr>
        <w:spacing w:after="0"/>
        <w:jc w:val="both"/>
        <w:rPr>
          <w:rFonts w:ascii="Bookman Old Style" w:hAnsi="Bookman Old Style" w:cs="Mangal"/>
          <w:b/>
          <w:sz w:val="24"/>
          <w:szCs w:val="24"/>
          <w:lang w:val="en-IN"/>
        </w:rPr>
      </w:pPr>
      <w:r w:rsidRPr="00AF6D47">
        <w:rPr>
          <w:rFonts w:ascii="Bookman Old Style" w:hAnsi="Bookman Old Style" w:cs="Mangal"/>
          <w:b/>
          <w:bCs/>
          <w:sz w:val="24"/>
          <w:szCs w:val="24"/>
          <w:lang w:val="en-IN"/>
        </w:rPr>
        <w:t>Neurocysticercosis</w:t>
      </w:r>
      <w:r w:rsidR="00AF6D47" w:rsidRPr="00AF6D47">
        <w:rPr>
          <w:rFonts w:ascii="Bookman Old Style" w:hAnsi="Bookman Old Style" w:cs="Mangal"/>
          <w:b/>
          <w:bCs/>
          <w:sz w:val="24"/>
          <w:szCs w:val="24"/>
          <w:lang w:val="en-IN"/>
        </w:rPr>
        <w:t xml:space="preserve"> (NCC)</w:t>
      </w:r>
    </w:p>
    <w:p w14:paraId="77692DA3" w14:textId="3FC10334" w:rsidR="00AF6D47" w:rsidRPr="00AF6D47" w:rsidRDefault="00EE0604" w:rsidP="00866175">
      <w:pPr>
        <w:numPr>
          <w:ilvl w:val="0"/>
          <w:numId w:val="1"/>
        </w:numPr>
        <w:spacing w:after="0"/>
        <w:jc w:val="both"/>
        <w:rPr>
          <w:rFonts w:ascii="Bookman Old Style" w:hAnsi="Bookman Old Style" w:cs="Mangal"/>
          <w:b/>
          <w:sz w:val="24"/>
          <w:szCs w:val="24"/>
          <w:lang w:val="en-IN"/>
        </w:rPr>
      </w:pPr>
      <w:r w:rsidRPr="00AF6D47">
        <w:rPr>
          <w:rFonts w:ascii="Bookman Old Style" w:hAnsi="Bookman Old Style" w:cs="Mangal"/>
          <w:b/>
          <w:bCs/>
          <w:sz w:val="24"/>
          <w:szCs w:val="24"/>
          <w:lang w:val="en-IN"/>
        </w:rPr>
        <w:t>Tuberculoma</w:t>
      </w:r>
    </w:p>
    <w:p w14:paraId="69217FDC" w14:textId="4EC8B760" w:rsidR="00AF6D47" w:rsidRPr="00EE0604" w:rsidRDefault="00AF6D47" w:rsidP="00866175">
      <w:pPr>
        <w:spacing w:after="0"/>
        <w:jc w:val="both"/>
        <w:rPr>
          <w:rFonts w:ascii="Bookman Old Style" w:hAnsi="Bookman Old Style" w:cs="Mangal"/>
          <w:b/>
          <w:sz w:val="24"/>
          <w:szCs w:val="24"/>
          <w:lang w:val="en-IN"/>
        </w:rPr>
      </w:pPr>
      <w:r w:rsidRPr="00AF6D47">
        <w:rPr>
          <w:rFonts w:ascii="Bookman Old Style" w:hAnsi="Bookman Old Style" w:cs="Mangal"/>
          <w:b/>
          <w:sz w:val="24"/>
          <w:szCs w:val="24"/>
          <w:lang w:val="en-IN"/>
        </w:rPr>
        <w:t>Clinical and laboratory correlation is recommended for definitive diagnosis.</w:t>
      </w:r>
    </w:p>
    <w:p w14:paraId="57A0BECB" w14:textId="7F0CD296" w:rsidR="00EE0604" w:rsidRDefault="00333438" w:rsidP="00866175">
      <w:pPr>
        <w:jc w:val="both"/>
        <w:rPr>
          <w:rFonts w:ascii="Bookman Old Style" w:hAnsi="Bookman Old Style" w:cs="Mangal"/>
          <w:b/>
        </w:rPr>
      </w:pPr>
      <w:r>
        <w:rPr>
          <w:rFonts w:ascii="Bookman Old Style" w:hAnsi="Bookman Old Style" w:cs="Mangal"/>
          <w:b/>
        </w:rPr>
        <w:t xml:space="preserve">               </w:t>
      </w:r>
      <w:r w:rsidRPr="00333438">
        <w:rPr>
          <w:rFonts w:ascii="Bookman Old Style" w:hAnsi="Bookman Old Style" w:cs="Mangal"/>
          <w:b/>
        </w:rPr>
        <w:t>Suggested: MR Spectroscopy for further characterization.</w:t>
      </w:r>
      <w:r w:rsidR="00FD584B" w:rsidRPr="00FD584B">
        <w:rPr>
          <w:rFonts w:ascii="Bookman Old Style" w:hAnsi="Bookman Old Style" w:cs="Mangal"/>
          <w:b/>
        </w:rPr>
        <w:t xml:space="preserve"> </w:t>
      </w:r>
      <w:r w:rsidR="00EE0604">
        <w:rPr>
          <w:rFonts w:ascii="Bookman Old Style" w:hAnsi="Bookman Old Style" w:cs="Mangal"/>
          <w:b/>
        </w:rPr>
        <w:t xml:space="preserve">                                                                                                                 </w:t>
      </w:r>
    </w:p>
    <w:p w14:paraId="7AEDB5CC" w14:textId="73982E6B" w:rsidR="00EE0604" w:rsidRPr="00333438" w:rsidRDefault="00EE0604" w:rsidP="00333438">
      <w:pPr>
        <w:spacing w:line="360" w:lineRule="auto"/>
        <w:jc w:val="both"/>
        <w:rPr>
          <w:rFonts w:ascii="Bookman Old Style" w:hAnsi="Bookman Old Style" w:cs="Mangal"/>
          <w:b/>
        </w:rPr>
      </w:pPr>
      <w:r>
        <w:rPr>
          <w:rFonts w:ascii="Bookman Old Style" w:hAnsi="Bookman Old Style" w:cs="Mangal"/>
          <w:b/>
        </w:rPr>
        <w:t xml:space="preserve">                                                                                                        </w:t>
      </w:r>
      <w:r>
        <w:rPr>
          <w:rFonts w:ascii="Bookman Old Style" w:hAnsi="Bookman Old Style" w:cs="Mangal"/>
          <w:b/>
          <w:noProof/>
        </w:rPr>
        <w:drawing>
          <wp:inline distT="0" distB="0" distL="0" distR="0" wp14:anchorId="61220427" wp14:editId="7997A58C">
            <wp:extent cx="996331" cy="901700"/>
            <wp:effectExtent l="0" t="0" r="0" b="0"/>
            <wp:docPr id="2122851459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51459" name="Picture 1" descr="Close-up of a signatu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8225" cy="92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0604" w:rsidRPr="00333438" w:rsidSect="00551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C3EF0"/>
    <w:multiLevelType w:val="multilevel"/>
    <w:tmpl w:val="70EE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9060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8449B"/>
    <w:rsid w:val="0009649A"/>
    <w:rsid w:val="000B7F54"/>
    <w:rsid w:val="001320F5"/>
    <w:rsid w:val="001E1F5C"/>
    <w:rsid w:val="001E460C"/>
    <w:rsid w:val="00283668"/>
    <w:rsid w:val="00333438"/>
    <w:rsid w:val="00352BFE"/>
    <w:rsid w:val="003C56C7"/>
    <w:rsid w:val="004B2332"/>
    <w:rsid w:val="004D027E"/>
    <w:rsid w:val="00551FDD"/>
    <w:rsid w:val="0056316A"/>
    <w:rsid w:val="005C2A81"/>
    <w:rsid w:val="00633635"/>
    <w:rsid w:val="006A3E40"/>
    <w:rsid w:val="00787EDB"/>
    <w:rsid w:val="0080571D"/>
    <w:rsid w:val="00845D27"/>
    <w:rsid w:val="00866175"/>
    <w:rsid w:val="00877F80"/>
    <w:rsid w:val="0093324F"/>
    <w:rsid w:val="009D2172"/>
    <w:rsid w:val="00A13D60"/>
    <w:rsid w:val="00A17DB5"/>
    <w:rsid w:val="00AF6D47"/>
    <w:rsid w:val="00B221DD"/>
    <w:rsid w:val="00B53913"/>
    <w:rsid w:val="00C33F0F"/>
    <w:rsid w:val="00C87D4E"/>
    <w:rsid w:val="00CB7CA9"/>
    <w:rsid w:val="00D34DB9"/>
    <w:rsid w:val="00DA524A"/>
    <w:rsid w:val="00EC45C0"/>
    <w:rsid w:val="00EE0604"/>
    <w:rsid w:val="00F63CE0"/>
    <w:rsid w:val="00F91835"/>
    <w:rsid w:val="00FD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4FDB2"/>
  <w15:docId w15:val="{66F91F99-A1C2-4FBF-9526-1B791F7E0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D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58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584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D4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5</cp:revision>
  <cp:lastPrinted>2025-10-09T07:12:00Z</cp:lastPrinted>
  <dcterms:created xsi:type="dcterms:W3CDTF">2022-10-17T05:13:00Z</dcterms:created>
  <dcterms:modified xsi:type="dcterms:W3CDTF">2025-10-09T07:38:00Z</dcterms:modified>
</cp:coreProperties>
</file>