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mc:Ignorable="wp14 w14 w15">
  <w:body>
    <w:p/>
    <w:p/>
    <w:tbl>
      <w:tblPr>
        <w:tblW w:w="9720" w:type="dxa"/>
        <w:tblInd w:w="0" w:type="dxa"/>
        <w:tblLayout w:type="fixed"/>
      </w:tblPr>
      <w:tblGrid/>
      <w:tr>
        <w:trPr>
          <w:wBefore w:w="0" w:type="dxa"/>
          <w:wAfter w:w="0" w:type="dxa"/>
        </w:trPr>
        <w:tc>
          <w:tcPr>
            <w:tcW w:w="1476" w:type="dxa"/>
            <w:tcBorders>
              <w:top w:val="single" w:sz="0" w:space="0" w:shadow="0" w:frame="0" w:color="000000"/>
              <w:left w:val="single" w:sz="0" w:space="0" w:shadow="0" w:frame="0" w:color="000000"/>
              <w:bottom w:val="single" w:sz="0" w:space="0" w:shadow="0" w:frame="0" w:color="000000"/>
              <w:right w:val="single" w:sz="0" w:space="0" w:shadow="0" w:frame="0" w:color="000000"/>
            </w:tcBorders>
            <w:tcMar>
              <w:top w:w="15" w:type="dxa"/>
              <w:left w:w="15" w:type="dxa"/>
              <w:bottom w:w="15" w:type="dxa"/>
              <w:right w:w="15" w:type="dxa"/>
            </w:tcMar>
          </w:tcPr>
          <w:p>
            <w:pPr>
              <w:rPr>
                <w:b w:val="1"/>
              </w:rPr>
            </w:pPr>
            <w:r>
              <w:rPr>
                <w:b w:val="1"/>
                <w:shd w:val="clear" w:color="auto" w:fill="FFFFFF"/>
              </w:rPr>
              <w:t xml:space="preserve"> Patient ID</w:t>
            </w:r>
          </w:p>
        </w:tc>
        <w:tc>
          <w:tcPr>
            <w:tcW w:w="4083" w:type="dxa"/>
            <w:tcBorders>
              <w:top w:val="single" w:sz="0" w:space="0" w:shadow="0" w:frame="0" w:color="000000"/>
              <w:left w:val="single" w:sz="0" w:space="0" w:shadow="0" w:frame="0" w:color="000000"/>
              <w:bottom w:val="single" w:sz="0" w:space="0" w:shadow="0" w:frame="0" w:color="000000"/>
              <w:right w:val="single" w:sz="0" w:space="0" w:shadow="0" w:frame="0" w:color="000000"/>
            </w:tcBorders>
            <w:tcMar>
              <w:top w:w="15" w:type="dxa"/>
              <w:left w:w="15" w:type="dxa"/>
              <w:bottom w:w="15" w:type="dxa"/>
              <w:right w:w="15" w:type="dxa"/>
            </w:tcMar>
          </w:tcPr>
          <w:p>
            <w:pPr>
              <w:rPr>
                <w:b w:val="1"/>
              </w:rPr>
            </w:pPr>
            <w:r>
              <w:rPr>
                <w:b w:val="1"/>
              </w:rPr>
              <w:t xml:space="preserve"> 5390</w:t>
            </w:r>
          </w:p>
        </w:tc>
        <w:tc>
          <w:tcPr>
            <w:tcW w:w="1491" w:type="dxa"/>
            <w:tcBorders>
              <w:top w:val="single" w:sz="0" w:space="0" w:shadow="0" w:frame="0" w:color="000000"/>
              <w:left w:val="single" w:sz="0" w:space="0" w:shadow="0" w:frame="0" w:color="000000"/>
              <w:bottom w:val="single" w:sz="0" w:space="0" w:shadow="0" w:frame="0" w:color="000000"/>
              <w:right w:val="single" w:sz="0" w:space="0" w:shadow="0" w:frame="0" w:color="000000"/>
            </w:tcBorders>
            <w:tcMar>
              <w:top w:w="15" w:type="dxa"/>
              <w:left w:w="15" w:type="dxa"/>
              <w:bottom w:w="15" w:type="dxa"/>
              <w:right w:w="15" w:type="dxa"/>
            </w:tcMar>
          </w:tcPr>
          <w:p>
            <w:pPr>
              <w:rPr>
                <w:b w:val="1"/>
              </w:rPr>
            </w:pPr>
            <w:r>
              <w:rPr>
                <w:b w:val="1"/>
                <w:shd w:val="clear" w:color="auto" w:fill="FFFFFF"/>
              </w:rPr>
              <w:t xml:space="preserve"> Age/Sex</w:t>
            </w:r>
          </w:p>
        </w:tc>
        <w:tc>
          <w:tcPr>
            <w:tcW w:w="2670" w:type="dxa"/>
            <w:tcBorders>
              <w:top w:val="single" w:sz="0" w:space="0" w:shadow="0" w:frame="0" w:color="000000"/>
              <w:left w:val="single" w:sz="0" w:space="0" w:shadow="0" w:frame="0" w:color="000000"/>
              <w:bottom w:val="single" w:sz="0" w:space="0" w:shadow="0" w:frame="0" w:color="000000"/>
              <w:right w:val="single" w:sz="0" w:space="0" w:shadow="0" w:frame="0" w:color="000000"/>
            </w:tcBorders>
            <w:tcMar>
              <w:top w:w="15" w:type="dxa"/>
              <w:left w:w="15" w:type="dxa"/>
              <w:bottom w:w="15" w:type="dxa"/>
              <w:right w:w="15" w:type="dxa"/>
            </w:tcMar>
          </w:tcPr>
          <w:p>
            <w:pPr>
              <w:rPr>
                <w:b w:val="1"/>
              </w:rPr>
            </w:pPr>
            <w:r>
              <w:t xml:space="preserve"> 070YF</w:t>
            </w:r>
          </w:p>
        </w:tc>
      </w:tr>
      <w:tr>
        <w:trPr>
          <w:wBefore w:w="0" w:type="dxa"/>
          <w:wAfter w:w="0" w:type="dxa"/>
        </w:trPr>
        <w:tc>
          <w:tcPr>
            <w:tcW w:w="1476" w:type="dxa"/>
            <w:tcBorders>
              <w:top w:val="single" w:sz="0" w:space="0" w:shadow="0" w:frame="0" w:color="000000"/>
              <w:left w:val="single" w:sz="0" w:space="0" w:shadow="0" w:frame="0" w:color="000000"/>
              <w:bottom w:val="single" w:sz="0" w:space="0" w:shadow="0" w:frame="0" w:color="000000"/>
              <w:right w:val="single" w:sz="0" w:space="0" w:shadow="0" w:frame="0" w:color="000000"/>
            </w:tcBorders>
            <w:tcMar>
              <w:top w:w="15" w:type="dxa"/>
              <w:left w:w="15" w:type="dxa"/>
              <w:bottom w:w="15" w:type="dxa"/>
              <w:right w:w="15" w:type="dxa"/>
            </w:tcMar>
          </w:tcPr>
          <w:p>
            <w:pPr>
              <w:shd w:val="clear" w:fill="FFFFFF"/>
              <w:rPr>
                <w:b w:val="1"/>
              </w:rPr>
            </w:pPr>
            <w:r>
              <w:rPr>
                <w:b w:val="1"/>
                <w:shd w:val="clear" w:color="auto" w:fill="FFFFFF"/>
              </w:rPr>
              <w:t xml:space="preserve"> Patient Name</w:t>
            </w:r>
          </w:p>
        </w:tc>
        <w:tc>
          <w:tcPr>
            <w:tcW w:w="4083" w:type="dxa"/>
            <w:tcBorders>
              <w:top w:val="single" w:sz="0" w:space="0" w:shadow="0" w:frame="0" w:color="000000"/>
              <w:left w:val="single" w:sz="0" w:space="0" w:shadow="0" w:frame="0" w:color="000000"/>
              <w:bottom w:val="single" w:sz="0" w:space="0" w:shadow="0" w:frame="0" w:color="000000"/>
              <w:right w:val="single" w:sz="0" w:space="0" w:shadow="0" w:frame="0" w:color="000000"/>
            </w:tcBorders>
            <w:tcMar>
              <w:top w:w="15" w:type="dxa"/>
              <w:left w:w="15" w:type="dxa"/>
              <w:bottom w:w="15" w:type="dxa"/>
              <w:right w:w="15" w:type="dxa"/>
            </w:tcMar>
          </w:tcPr>
          <w:p>
            <w:pPr>
              <w:shd w:val="clear" w:fill="FFFFFF"/>
              <w:rPr>
                <w:b w:val="1"/>
              </w:rPr>
            </w:pPr>
            <w:r>
              <w:rPr>
                <w:b w:val="1"/>
              </w:rPr>
              <w:t xml:space="preserve"> DEWANTI DEVI</w:t>
            </w:r>
          </w:p>
        </w:tc>
        <w:tc>
          <w:tcPr>
            <w:tcW w:w="1491" w:type="dxa"/>
            <w:tcBorders>
              <w:top w:val="single" w:sz="0" w:space="0" w:shadow="0" w:frame="0" w:color="000000"/>
              <w:left w:val="single" w:sz="0" w:space="0" w:shadow="0" w:frame="0" w:color="000000"/>
              <w:bottom w:val="single" w:sz="0" w:space="0" w:shadow="0" w:frame="0" w:color="000000"/>
              <w:right w:val="single" w:sz="0" w:space="0" w:shadow="0" w:frame="0" w:color="000000"/>
            </w:tcBorders>
            <w:tcMar>
              <w:top w:w="15" w:type="dxa"/>
              <w:left w:w="15" w:type="dxa"/>
              <w:bottom w:w="15" w:type="dxa"/>
              <w:right w:w="15" w:type="dxa"/>
            </w:tcMar>
          </w:tcPr>
          <w:p>
            <w:pPr>
              <w:shd w:val="clear" w:fill="FFFFFF"/>
              <w:rPr>
                <w:b w:val="1"/>
              </w:rPr>
            </w:pPr>
            <w:r>
              <w:rPr>
                <w:b w:val="1"/>
                <w:shd w:val="clear" w:color="auto" w:fill="FFFFFF"/>
              </w:rPr>
              <w:t xml:space="preserve"> Date</w:t>
            </w:r>
          </w:p>
        </w:tc>
        <w:tc>
          <w:tcPr>
            <w:tcW w:w="2670" w:type="dxa"/>
            <w:tcBorders>
              <w:top w:val="single" w:sz="0" w:space="0" w:shadow="0" w:frame="0" w:color="000000"/>
              <w:left w:val="single" w:sz="0" w:space="0" w:shadow="0" w:frame="0" w:color="000000"/>
              <w:bottom w:val="single" w:sz="0" w:space="0" w:shadow="0" w:frame="0" w:color="000000"/>
              <w:right w:val="single" w:sz="0" w:space="0" w:shadow="0" w:frame="0" w:color="000000"/>
            </w:tcBorders>
            <w:tcMar>
              <w:top w:w="15" w:type="dxa"/>
              <w:left w:w="15" w:type="dxa"/>
              <w:bottom w:w="15" w:type="dxa"/>
              <w:right w:w="15" w:type="dxa"/>
            </w:tcMar>
          </w:tcPr>
          <w:p>
            <w:pPr>
              <w:shd w:val="clear" w:fill="FFFFFF"/>
              <w:rPr>
                <w:b w:val="1"/>
              </w:rPr>
            </w:pPr>
            <w:r>
              <w:rPr>
                <w:b w:val="1"/>
              </w:rPr>
              <w:t xml:space="preserve">  19 - May - 2024</w:t>
            </w:r>
          </w:p>
        </w:tc>
      </w:tr>
      <w:tr>
        <w:trPr>
          <w:wBefore w:w="0" w:type="dxa"/>
          <w:wAfter w:w="0" w:type="dxa"/>
        </w:trPr>
        <w:tc>
          <w:tcPr>
            <w:tcW w:w="1476" w:type="dxa"/>
            <w:tcBorders>
              <w:top w:val="single" w:sz="0" w:space="0" w:shadow="0" w:frame="0" w:color="000000"/>
              <w:left w:val="single" w:sz="0" w:space="0" w:shadow="0" w:frame="0" w:color="000000"/>
              <w:bottom w:val="single" w:sz="0" w:space="0" w:shadow="0" w:frame="0" w:color="000000"/>
              <w:right w:val="single" w:sz="0" w:space="0" w:shadow="0" w:frame="0" w:color="000000"/>
            </w:tcBorders>
            <w:tcMar>
              <w:top w:w="15" w:type="dxa"/>
              <w:left w:w="15" w:type="dxa"/>
              <w:bottom w:w="15" w:type="dxa"/>
              <w:right w:w="15" w:type="dxa"/>
            </w:tcMar>
          </w:tcPr>
          <w:p>
            <w:pPr>
              <w:shd w:val="clear" w:fill="FFFFFF"/>
              <w:rPr>
                <w:b w:val="1"/>
              </w:rPr>
            </w:pPr>
            <w:r>
              <w:rPr>
                <w:b w:val="1"/>
                <w:shd w:val="clear" w:color="auto" w:fill="FFFFFF"/>
              </w:rPr>
              <w:t xml:space="preserve"> Referred By</w:t>
            </w:r>
          </w:p>
        </w:tc>
        <w:tc>
          <w:tcPr>
            <w:tcW w:w="4083" w:type="dxa"/>
            <w:tcBorders>
              <w:top w:val="single" w:sz="0" w:space="0" w:shadow="0" w:frame="0" w:color="000000"/>
              <w:left w:val="single" w:sz="0" w:space="0" w:shadow="0" w:frame="0" w:color="000000"/>
              <w:bottom w:val="single" w:sz="0" w:space="0" w:shadow="0" w:frame="0" w:color="000000"/>
              <w:right w:val="single" w:sz="0" w:space="0" w:shadow="0" w:frame="0" w:color="000000"/>
            </w:tcBorders>
            <w:tcMar>
              <w:top w:w="15" w:type="dxa"/>
              <w:left w:w="15" w:type="dxa"/>
              <w:bottom w:w="15" w:type="dxa"/>
              <w:right w:w="15" w:type="dxa"/>
            </w:tcMar>
          </w:tcPr>
          <w:p>
            <w:pPr>
              <w:shd w:val="clear" w:fill="FFFFFF"/>
              <w:rPr>
                <w:b w:val="1"/>
              </w:rPr>
            </w:pPr>
            <w:r>
              <w:rPr>
                <w:b w:val="1"/>
              </w:rPr>
              <w:t xml:space="preserve"> </w:t>
            </w:r>
          </w:p>
        </w:tc>
        <w:tc>
          <w:tcPr>
            <w:tcW w:w="1491" w:type="dxa"/>
            <w:tcBorders>
              <w:top w:val="single" w:sz="0" w:space="0" w:shadow="0" w:frame="0" w:color="000000"/>
              <w:left w:val="single" w:sz="0" w:space="0" w:shadow="0" w:frame="0" w:color="000000"/>
              <w:bottom w:val="single" w:sz="0" w:space="0" w:shadow="0" w:frame="0" w:color="000000"/>
              <w:right w:val="single" w:sz="0" w:space="0" w:shadow="0" w:frame="0" w:color="000000"/>
            </w:tcBorders>
            <w:tcMar>
              <w:top w:w="15" w:type="dxa"/>
              <w:left w:w="15" w:type="dxa"/>
              <w:bottom w:w="15" w:type="dxa"/>
              <w:right w:w="15" w:type="dxa"/>
            </w:tcMar>
          </w:tcPr>
          <w:p>
            <w:pPr>
              <w:shd w:val="clear" w:fill="FFFFFF"/>
              <w:rPr>
                <w:b w:val="1"/>
              </w:rPr>
            </w:pPr>
            <w:r>
              <w:rPr>
                <w:b w:val="1"/>
                <w:shd w:val="clear" w:color="auto" w:fill="FFFFFF"/>
              </w:rPr>
              <w:t xml:space="preserve"> Reported Date</w:t>
            </w:r>
          </w:p>
        </w:tc>
        <w:tc>
          <w:tcPr>
            <w:tcW w:w="2670" w:type="dxa"/>
            <w:tcBorders>
              <w:top w:val="single" w:sz="0" w:space="0" w:shadow="0" w:frame="0" w:color="000000"/>
              <w:left w:val="single" w:sz="0" w:space="0" w:shadow="0" w:frame="0" w:color="000000"/>
              <w:bottom w:val="single" w:sz="0" w:space="0" w:shadow="0" w:frame="0" w:color="000000"/>
              <w:right w:val="single" w:sz="0" w:space="0" w:shadow="0" w:frame="0" w:color="000000"/>
            </w:tcBorders>
            <w:tcMar>
              <w:top w:w="15" w:type="dxa"/>
              <w:left w:w="15" w:type="dxa"/>
              <w:bottom w:w="15" w:type="dxa"/>
              <w:right w:w="15" w:type="dxa"/>
            </w:tcMar>
          </w:tcPr>
          <w:p>
            <w:pPr>
              <w:shd w:val="clear" w:fill="FFFFFF"/>
              <w:rPr>
                <w:b w:val="1"/>
              </w:rPr>
            </w:pPr>
            <w:r>
              <w:t xml:space="preserve"> 20-May-2024 / 12:38</w:t>
            </w:r>
          </w:p>
        </w:tc>
      </w:tr>
    </w:tbl>
    <w:p>
      <w:pPr>
        <w:shd w:val="clear" w:fill="FFFFFF"/>
      </w:pPr>
    </w:p>
    <w:p>
      <w:pPr>
        <w:shd w:val="clear" w:fill="FFFFFF"/>
      </w:pPr>
    </w:p>
    <w:p>
      <w:pPr>
        <w:widowControl w:val="1"/>
        <w:ind w:left="0" w:right="0"/>
        <w:bidi w:val="0"/>
        <w:jc w:val="center"/>
        <w:rPr>
          <w:rFonts w:ascii="Verdana" w:hAnsi="Verdana"/>
          <w:b w:val="1"/>
          <w:i w:val="0"/>
          <w:bCs w:val="0"/>
          <w:caps w:val="0"/>
          <w:noProof w:val="0"/>
          <w:vanish w:val="0"/>
          <w:color w:val="auto"/>
          <w:sz w:val="24"/>
          <w:u w:val="single"/>
          <w:shd w:val="clear" w:color="auto" w:fill="auto"/>
          <w:vertAlign w:val="baseline"/>
          <w:lang/>
        </w:rPr>
      </w:pPr>
      <w:r>
        <w:rPr>
          <w:rFonts w:ascii="Verdana" w:hAnsi="Verdana"/>
          <w:b w:val="1"/>
          <w:i w:val="0"/>
          <w:bCs w:val="0"/>
          <w:caps w:val="0"/>
          <w:noProof w:val="0"/>
          <w:vanish w:val="0"/>
          <w:color w:val="auto"/>
          <w:sz w:val="24"/>
          <w:u w:val="single"/>
          <w:shd w:val="clear" w:color="auto" w:fill="auto"/>
          <w:vertAlign w:val="baseline"/>
          <w:lang/>
        </w:rPr>
        <w:t>MRI SCREENING CERVICAL SPINE</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xml:space="preserve">Technique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MR imaging of the cervical spine was performed and high resolution T1-and T2-weighted serial sections obtained in the sagittal and axial planes using a phased-Array surface coil on a 1.5 Tesla scanner.</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xml:space="preserve">Clinical details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xml:space="preserve">Observation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xml:space="preserve">Cervical lordosis is straightened. Osteophytes are seen at multiple levels.  All the vertebrae in view show normal heights, alignment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xml:space="preserve">Disc desiccation is seen at multiple levels.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Mild diffuse disc bulges are seen at C2-C3, C3-C4, C4-C5, C5-C6 and C6-C7 levels indenting the thecal sac and causing bilateral neural foraminal compromise.</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xml:space="preserve">The spinal cord is normal in size, contour and signal intensity.  No intrinsic parenchymal lesion is seen.  The thecal sac is normal and CSF demonstrates normal signal intensity. The craniovertebral junction is normal.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No intraspinal mass or pre/paravertebral collection is seen.</w:t>
      </w:r>
    </w:p>
    <w:p>
      <w:pPr>
        <w:widowControl w:val="1"/>
        <w:ind w:left="0" w:right="0"/>
        <w:bidi w:val="0"/>
        <w:jc w:val="both"/>
        <w:rPr>
          <w:rFonts w:ascii="Verdana" w:hAnsi="Verdana"/>
          <w:b w:val="1"/>
          <w:i w:val="0"/>
          <w:bCs w:val="0"/>
          <w:caps w:val="0"/>
          <w:noProof w:val="0"/>
          <w:vanish w:val="0"/>
          <w:color w:val="auto"/>
          <w:sz w:val="24"/>
          <w:u w:val="none"/>
          <w:shd w:val="clear" w:color="auto" w:fill="auto"/>
          <w:vertAlign w:val="baseline"/>
          <w:lang/>
        </w:rPr>
      </w:pPr>
      <w:r>
        <w:rPr>
          <w:rFonts w:ascii="Verdana" w:hAnsi="Verdana"/>
          <w:b w:val="1"/>
          <w:i w:val="0"/>
          <w:bCs w:val="0"/>
          <w:caps w:val="0"/>
          <w:noProof w:val="0"/>
          <w:vanish w:val="0"/>
          <w:color w:val="auto"/>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1"/>
          <w:i w:val="0"/>
          <w:bCs w:val="0"/>
          <w:caps w:val="0"/>
          <w:noProof w:val="0"/>
          <w:vanish w:val="0"/>
          <w:color w:val="auto"/>
          <w:sz w:val="24"/>
          <w:u w:val="none"/>
          <w:shd w:val="clear" w:color="auto" w:fill="auto"/>
          <w:vertAlign w:val="baseline"/>
          <w:lang/>
        </w:rPr>
        <w:t>OPINION: - MR findings reveals</w:t>
      </w:r>
      <w:r>
        <w:rPr>
          <w:rFonts w:ascii="Verdana" w:hAnsi="Verdana"/>
          <w:b w:val="0"/>
          <w:i w:val="0"/>
          <w:bCs w:val="0"/>
          <w:caps w:val="0"/>
          <w:noProof w:val="0"/>
          <w:vanish w:val="0"/>
          <w:color w:val="auto"/>
          <w:sz w:val="24"/>
          <w:u w:val="none"/>
          <w:shd w:val="clear" w:color="auto" w:fill="auto"/>
          <w:vertAlign w:val="baseline"/>
          <w:lang/>
        </w:rPr>
        <w:t xml:space="preserve"> </w:t>
      </w:r>
    </w:p>
    <w:p>
      <w:pPr>
        <w:widowControl w:val="1"/>
        <w:numPr>
          <w:ilvl w:val="0"/>
          <w:numId w:val="1"/>
        </w:numPr>
        <w:ind w:hanging="360" w:left="900" w:right="0"/>
        <w:contextualSpacing w:val="1"/>
        <w:bidi w:val="0"/>
        <w:jc w:val="both"/>
        <w:rPr>
          <w:rFonts w:ascii="Verdana" w:hAnsi="Verdana"/>
          <w:b w:val="1"/>
          <w:i w:val="0"/>
          <w:bCs w:val="0"/>
          <w:caps w:val="0"/>
          <w:noProof w:val="0"/>
          <w:vanish w:val="0"/>
          <w:color w:val="auto"/>
          <w:sz w:val="24"/>
          <w:u w:val="none"/>
          <w:shd w:val="clear" w:color="auto" w:fill="auto"/>
          <w:vertAlign w:val="baseline"/>
          <w:lang/>
        </w:rPr>
      </w:pPr>
      <w:r>
        <w:rPr>
          <w:rFonts w:ascii="Verdana" w:hAnsi="Verdana"/>
          <w:b w:val="1"/>
          <w:i w:val="0"/>
          <w:bCs w:val="0"/>
          <w:caps w:val="0"/>
          <w:noProof w:val="0"/>
          <w:vanish w:val="0"/>
          <w:color w:val="auto"/>
          <w:sz w:val="24"/>
          <w:u w:val="none"/>
          <w:shd w:val="clear" w:color="auto" w:fill="auto"/>
          <w:vertAlign w:val="baseline"/>
          <w:lang/>
        </w:rPr>
        <w:t>Cervical spondylosis.</w:t>
      </w:r>
    </w:p>
    <w:p>
      <w:pPr>
        <w:widowControl w:val="1"/>
        <w:numPr>
          <w:ilvl w:val="0"/>
          <w:numId w:val="1"/>
        </w:numPr>
        <w:ind w:hanging="360" w:left="900" w:right="0"/>
        <w:contextualSpacing w:val="1"/>
        <w:bidi w:val="0"/>
        <w:jc w:val="both"/>
        <w:rPr>
          <w:rFonts w:ascii="Verdana" w:hAnsi="Verdana"/>
          <w:b w:val="1"/>
          <w:i w:val="0"/>
          <w:bCs w:val="0"/>
          <w:caps w:val="0"/>
          <w:noProof w:val="0"/>
          <w:vanish w:val="0"/>
          <w:color w:val="auto"/>
          <w:sz w:val="24"/>
          <w:u w:val="none"/>
          <w:shd w:val="clear" w:color="auto" w:fill="auto"/>
          <w:vertAlign w:val="baseline"/>
          <w:lang/>
        </w:rPr>
      </w:pPr>
      <w:r>
        <w:rPr>
          <w:rFonts w:ascii="Verdana" w:hAnsi="Verdana"/>
          <w:b w:val="1"/>
          <w:i w:val="0"/>
          <w:bCs w:val="0"/>
          <w:caps w:val="0"/>
          <w:noProof w:val="0"/>
          <w:vanish w:val="0"/>
          <w:color w:val="auto"/>
          <w:sz w:val="24"/>
          <w:u w:val="none"/>
          <w:shd w:val="clear" w:color="auto" w:fill="auto"/>
          <w:vertAlign w:val="baseline"/>
          <w:lang/>
        </w:rPr>
        <w:t xml:space="preserve">Mild diffuse disc bulges   at C2-C3, C3-C4, C4-C5, C5-C6 and C6-C7 levels indenting the thecal sac and causing bilateral neural foraminal compromise.</w:t>
      </w:r>
    </w:p>
    <w:p>
      <w:pPr>
        <w:widowControl w:val="1"/>
        <w:ind w:left="0" w:right="0"/>
        <w:bidi w:val="0"/>
        <w:jc w:val="both"/>
      </w:pP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xml:space="preserve">Please correlate clinically. </w:t>
      </w:r>
    </w:p>
    <w:p>
      <w:pPr>
        <w:widowControl w:val="1"/>
        <w:ind w:left="0" w:right="0"/>
        <w:bidi w:val="0"/>
        <w:jc w:val="left"/>
        <w:rPr>
          <w:rFonts w:ascii="Calibri" w:hAnsi="Calibri"/>
          <w:b w:val="0"/>
          <w:i w:val="0"/>
          <w:bCs w:val="0"/>
          <w:caps w:val="0"/>
          <w:noProof w:val="0"/>
          <w:vanish w:val="0"/>
          <w:color w:val="auto"/>
          <w:sz w:val="24"/>
          <w:u w:val="none"/>
          <w:shd w:val="clear" w:color="auto" w:fill="auto"/>
          <w:vertAlign w:val="baseline"/>
          <w:lang/>
        </w:rPr>
      </w:pPr>
      <w:r>
        <w:rPr>
          <w:rFonts w:ascii="Calibri" w:hAnsi="Calibri"/>
          <w:b w:val="0"/>
          <w:i w:val="0"/>
          <w:bCs w:val="0"/>
          <w:caps w:val="0"/>
          <w:noProof w:val="0"/>
          <w:vanish w:val="0"/>
          <w:color w:val="auto"/>
          <w:sz w:val="24"/>
          <w:u w:val="none"/>
          <w:shd w:val="clear" w:color="auto" w:fill="auto"/>
          <w:vertAlign w:val="baseline"/>
          <w:lang/>
        </w:rPr>
        <w:t> </w:t>
      </w:r>
    </w:p>
    <w:p>
      <w:pPr>
        <w:widowControl w:val="1"/>
        <w:ind w:left="0" w:right="0"/>
        <w:bidi w:val="0"/>
        <w:jc w:val="left"/>
        <w:rPr>
          <w:rFonts w:ascii="Calibri" w:hAnsi="Calibri"/>
          <w:b w:val="0"/>
          <w:i w:val="0"/>
          <w:bCs w:val="0"/>
          <w:caps w:val="0"/>
          <w:noProof w:val="0"/>
          <w:vanish w:val="0"/>
          <w:color w:val="auto"/>
          <w:sz w:val="24"/>
          <w:u w:val="none"/>
          <w:shd w:val="clear" w:color="auto" w:fill="auto"/>
          <w:vertAlign w:val="baseline"/>
          <w:lang/>
        </w:rPr>
      </w:pPr>
      <w:r>
        <w:rPr>
          <w:rFonts w:ascii="Calibri" w:hAnsi="Calibri"/>
          <w:b w:val="0"/>
          <w:i w:val="0"/>
          <w:bCs w:val="0"/>
          <w:caps w:val="0"/>
          <w:noProof w:val="0"/>
          <w:vanish w:val="0"/>
          <w:color w:val="auto"/>
          <w:sz w:val="24"/>
          <w:u w:val="none"/>
          <w:shd w:val="clear" w:color="auto" w:fill="auto"/>
          <w:vertAlign w:val="baseline"/>
          <w:lang/>
        </w:rPr>
        <w:t> </w:t>
      </w:r>
    </w:p>
    <w:p>
      <w:pPr>
        <w:widowControl w:val="1"/>
        <w:ind w:left="0" w:right="0"/>
        <w:bidi w:val="0"/>
        <w:jc w:val="center"/>
        <w:rPr>
          <w:rFonts w:ascii="Verdana" w:hAnsi="Verdana"/>
          <w:b w:val="1"/>
          <w:i w:val="0"/>
          <w:bCs w:val="0"/>
          <w:caps w:val="0"/>
          <w:noProof w:val="0"/>
          <w:vanish w:val="0"/>
          <w:color w:val="auto"/>
          <w:sz w:val="24"/>
          <w:u w:val="single"/>
          <w:shd w:val="clear" w:color="auto" w:fill="auto"/>
          <w:vertAlign w:val="baseline"/>
          <w:lang/>
        </w:rPr>
      </w:pPr>
      <w:r>
        <w:rPr>
          <w:rFonts w:ascii="Verdana" w:hAnsi="Verdana"/>
          <w:b w:val="1"/>
          <w:i w:val="0"/>
          <w:bCs w:val="0"/>
          <w:caps w:val="0"/>
          <w:noProof w:val="0"/>
          <w:vanish w:val="0"/>
          <w:color w:val="auto"/>
          <w:sz w:val="24"/>
          <w:u w:val="single"/>
          <w:shd w:val="clear" w:color="auto" w:fill="auto"/>
          <w:vertAlign w:val="baseline"/>
          <w:lang/>
        </w:rPr>
        <w:t>MRI SCREENING THORACIC SPINE</w:t>
      </w:r>
    </w:p>
    <w:p>
      <w:pPr>
        <w:widowControl w:val="1"/>
        <w:ind w:left="0" w:right="0"/>
        <w:bidi w:val="0"/>
        <w:jc w:val="both"/>
        <w:rPr>
          <w:rFonts w:ascii="Verdana" w:hAnsi="Verdana"/>
          <w:b w:val="0"/>
          <w:i w:val="1"/>
          <w:bCs w:val="0"/>
          <w:caps w:val="0"/>
          <w:noProof w:val="0"/>
          <w:vanish w:val="0"/>
          <w:color w:val="auto"/>
          <w:sz w:val="24"/>
          <w:u w:val="none"/>
          <w:shd w:val="clear" w:color="auto" w:fill="auto"/>
          <w:vertAlign w:val="baseline"/>
          <w:lang/>
        </w:rPr>
      </w:pPr>
      <w:r>
        <w:rPr>
          <w:rFonts w:ascii="Verdana" w:hAnsi="Verdana"/>
          <w:b w:val="0"/>
          <w:i w:val="1"/>
          <w:bCs w:val="0"/>
          <w:caps w:val="0"/>
          <w:noProof w:val="0"/>
          <w:vanish w:val="0"/>
          <w:color w:val="auto"/>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xml:space="preserve">Technique </w:t>
      </w:r>
    </w:p>
    <w:p>
      <w:pPr>
        <w:widowControl w:val="1"/>
        <w:ind w:left="0" w:right="0"/>
        <w:bidi w:val="0"/>
        <w:jc w:val="both"/>
        <w:rPr>
          <w:rFonts w:ascii="Verdana" w:hAnsi="Verdana"/>
          <w:b w:val="0"/>
          <w:i w:val="1"/>
          <w:bCs w:val="0"/>
          <w:caps w:val="0"/>
          <w:noProof w:val="0"/>
          <w:vanish w:val="0"/>
          <w:color w:val="auto"/>
          <w:sz w:val="24"/>
          <w:u w:val="none"/>
          <w:shd w:val="clear" w:color="auto" w:fill="auto"/>
          <w:vertAlign w:val="baseline"/>
          <w:lang/>
        </w:rPr>
      </w:pPr>
      <w:r>
        <w:rPr>
          <w:rFonts w:ascii="Verdana" w:hAnsi="Verdana"/>
          <w:b w:val="0"/>
          <w:i w:val="1"/>
          <w:bCs w:val="0"/>
          <w:caps w:val="0"/>
          <w:noProof w:val="0"/>
          <w:vanish w:val="0"/>
          <w:color w:val="auto"/>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xml:space="preserve">MR imaging of the thoracic spine was performed and high-resolution T1-and T2-weighted serial sections obtained in the sagittal and axial planes. </w:t>
      </w:r>
    </w:p>
    <w:p>
      <w:pPr>
        <w:widowControl w:val="1"/>
        <w:ind w:left="0" w:right="0"/>
        <w:bidi w:val="0"/>
        <w:jc w:val="both"/>
        <w:rPr>
          <w:rFonts w:ascii="Verdana" w:hAnsi="Verdana"/>
          <w:b w:val="0"/>
          <w:i w:val="0"/>
          <w:bCs w:val="0"/>
          <w:caps w:val="0"/>
          <w:noProof w:val="0"/>
          <w:vanish w:val="0"/>
          <w:color w:val="993300"/>
          <w:sz w:val="24"/>
          <w:u w:val="none"/>
          <w:shd w:val="clear" w:color="auto" w:fill="auto"/>
          <w:vertAlign w:val="baseline"/>
          <w:lang/>
        </w:rPr>
      </w:pPr>
      <w:r>
        <w:rPr>
          <w:rFonts w:ascii="Verdana" w:hAnsi="Verdana"/>
          <w:b w:val="0"/>
          <w:i w:val="0"/>
          <w:bCs w:val="0"/>
          <w:caps w:val="0"/>
          <w:noProof w:val="0"/>
          <w:vanish w:val="0"/>
          <w:color w:val="993300"/>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xml:space="preserve">Clinical details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xml:space="preserve">Observation </w:t>
      </w:r>
    </w:p>
    <w:p>
      <w:pPr>
        <w:widowControl w:val="1"/>
        <w:ind w:left="0" w:right="0"/>
        <w:bidi w:val="0"/>
        <w:jc w:val="both"/>
        <w:rPr>
          <w:rFonts w:ascii="Verdana" w:hAnsi="Verdana"/>
          <w:b w:val="0"/>
          <w:i w:val="0"/>
          <w:bCs w:val="0"/>
          <w:caps w:val="0"/>
          <w:noProof w:val="0"/>
          <w:vanish w:val="0"/>
          <w:color w:val="993300"/>
          <w:sz w:val="24"/>
          <w:u w:val="none"/>
          <w:shd w:val="clear" w:color="auto" w:fill="auto"/>
          <w:vertAlign w:val="baseline"/>
          <w:lang/>
        </w:rPr>
      </w:pPr>
      <w:r>
        <w:rPr>
          <w:rFonts w:ascii="Verdana" w:hAnsi="Verdana"/>
          <w:b w:val="0"/>
          <w:i w:val="0"/>
          <w:bCs w:val="0"/>
          <w:caps w:val="0"/>
          <w:noProof w:val="0"/>
          <w:vanish w:val="0"/>
          <w:color w:val="993300"/>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xml:space="preserve">Dorsal kyphotic curvature is straightened.  Osteophytes are noted at multiple levels. All the vertebrae in view show normal heights, alignment. The vertebral bodies in view shows T1/T2W hyperintensity suggestive of osteoporosis.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Disc desiccation is noted at multiple levels.</w:t>
      </w:r>
    </w:p>
    <w:p>
      <w:pPr>
        <w:widowControl w:val="1"/>
        <w:ind w:left="0" w:right="0"/>
        <w:bidi w:val="0"/>
        <w:jc w:val="both"/>
      </w:pP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xml:space="preserve">Mild diffuse disc bulges at D9-D10, D11-D12 and D12-L1 levels indenting the thecal sac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No significant disc bulge or herniation is noted at any other level.</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xml:space="preserve">Spinal canal is capacious. Visualized dorsal spinal cord is normal in morphology and signal intensity. Thecal sac shows a normal CSF signal intensity.  </w:t>
      </w:r>
    </w:p>
    <w:p>
      <w:pPr>
        <w:widowControl w:val="1"/>
        <w:ind w:left="0" w:right="0"/>
        <w:bidi w:val="0"/>
        <w:jc w:val="both"/>
        <w:rPr>
          <w:rFonts w:ascii="Verdana" w:hAnsi="Verdana"/>
          <w:b w:val="0"/>
          <w:i w:val="1"/>
          <w:bCs w:val="0"/>
          <w:caps w:val="0"/>
          <w:noProof w:val="0"/>
          <w:vanish w:val="0"/>
          <w:color w:val="auto"/>
          <w:sz w:val="24"/>
          <w:u w:val="none"/>
          <w:shd w:val="clear" w:color="auto" w:fill="auto"/>
          <w:vertAlign w:val="baseline"/>
          <w:lang/>
        </w:rPr>
      </w:pPr>
      <w:r>
        <w:rPr>
          <w:rFonts w:ascii="Verdana" w:hAnsi="Verdana"/>
          <w:b w:val="0"/>
          <w:i w:val="1"/>
          <w:bCs w:val="0"/>
          <w:caps w:val="0"/>
          <w:noProof w:val="0"/>
          <w:vanish w:val="0"/>
          <w:color w:val="auto"/>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xml:space="preserve">No significant intraspinal mass or pre/ paravertebral soft tissue collection is seen.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xml:space="preserve">                                                                                        </w:t>
      </w:r>
    </w:p>
    <w:p>
      <w:pPr>
        <w:widowControl w:val="1"/>
        <w:ind w:left="0" w:right="0"/>
        <w:bidi w:val="0"/>
        <w:jc w:val="both"/>
        <w:rPr>
          <w:rFonts w:ascii="Verdana" w:hAnsi="Verdana"/>
          <w:b w:val="1"/>
          <w:i w:val="0"/>
          <w:bCs w:val="0"/>
          <w:caps w:val="0"/>
          <w:noProof w:val="0"/>
          <w:vanish w:val="0"/>
          <w:color w:val="auto"/>
          <w:sz w:val="24"/>
          <w:u w:val="none"/>
          <w:shd w:val="clear" w:color="auto" w:fill="auto"/>
          <w:vertAlign w:val="baseline"/>
          <w:lang/>
        </w:rPr>
      </w:pPr>
      <w:r>
        <w:rPr>
          <w:rFonts w:ascii="Verdana" w:hAnsi="Verdana"/>
          <w:b w:val="1"/>
          <w:i w:val="0"/>
          <w:bCs w:val="0"/>
          <w:caps w:val="0"/>
          <w:noProof w:val="0"/>
          <w:vanish w:val="0"/>
          <w:color w:val="auto"/>
          <w:sz w:val="24"/>
          <w:u w:val="none"/>
          <w:shd w:val="clear" w:color="auto" w:fill="auto"/>
          <w:vertAlign w:val="baseline"/>
          <w:lang/>
        </w:rPr>
        <w:t xml:space="preserve">OPINION:- MR findings reveals thoracic spondylosis with Mild diffuse disc bulges at D9-D10, D11-D12 and D12-L1 levels indenting the thecal sac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 </w:t>
      </w:r>
    </w:p>
    <w:p>
      <w:pPr>
        <w:widowControl w:val="1"/>
        <w:ind w:left="0" w:right="0"/>
        <w:bidi w:val="0"/>
        <w:jc w:val="both"/>
        <w:rPr>
          <w:rFonts w:ascii="Verdana" w:hAnsi="Verdana"/>
          <w:b w:val="0"/>
          <w:i w:val="1"/>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auto"/>
          <w:sz w:val="24"/>
          <w:u w:val="none"/>
          <w:shd w:val="clear" w:color="auto" w:fill="auto"/>
          <w:vertAlign w:val="baseline"/>
          <w:lang/>
        </w:rPr>
        <w:t>Please correlate clinically</w:t>
      </w:r>
      <w:r>
        <w:rPr>
          <w:rFonts w:ascii="Verdana" w:hAnsi="Verdana"/>
          <w:b w:val="0"/>
          <w:i w:val="1"/>
          <w:bCs w:val="0"/>
          <w:caps w:val="0"/>
          <w:noProof w:val="0"/>
          <w:vanish w:val="0"/>
          <w:color w:val="auto"/>
          <w:sz w:val="24"/>
          <w:u w:val="none"/>
          <w:shd w:val="clear" w:color="auto" w:fill="auto"/>
          <w:vertAlign w:val="baseline"/>
          <w:lang/>
        </w:rPr>
        <w:t>.</w:t>
      </w:r>
    </w:p>
    <w:p>
      <w:pPr>
        <w:widowControl w:val="1"/>
        <w:ind w:left="0" w:right="0"/>
        <w:bidi w:val="0"/>
        <w:jc w:val="left"/>
      </w:pPr>
    </w:p>
    <w:p>
      <w:pPr>
        <w:widowControl w:val="1"/>
        <w:shd w:val="clear" w:fill="FFFFFF"/>
        <w:ind w:left="0" w:right="0"/>
        <w:bidi w:val="0"/>
        <w:jc w:val="center"/>
        <w:rPr>
          <w:rFonts w:ascii="Verdana" w:hAnsi="Verdana"/>
          <w:b w:val="1"/>
          <w:i w:val="0"/>
          <w:bCs w:val="0"/>
          <w:caps w:val="0"/>
          <w:noProof w:val="0"/>
          <w:vanish w:val="0"/>
          <w:color w:val="222222"/>
          <w:sz w:val="24"/>
          <w:u w:val="single"/>
          <w:shd w:val="clear" w:color="auto" w:fill="auto"/>
          <w:vertAlign w:val="baseline"/>
          <w:lang/>
        </w:rPr>
      </w:pPr>
      <w:r>
        <w:rPr>
          <w:rFonts w:ascii="Verdana" w:hAnsi="Verdana"/>
          <w:b w:val="1"/>
          <w:i w:val="0"/>
          <w:bCs w:val="0"/>
          <w:caps w:val="0"/>
          <w:noProof w:val="0"/>
          <w:vanish w:val="0"/>
          <w:color w:val="auto"/>
          <w:sz w:val="24"/>
          <w:u w:val="single"/>
          <w:shd w:val="clear" w:color="auto" w:fill="auto"/>
          <w:vertAlign w:val="baseline"/>
          <w:lang/>
        </w:rPr>
        <w:t>CE</w:t>
      </w:r>
      <w:r>
        <w:rPr>
          <w:rFonts w:ascii="Verdana" w:hAnsi="Verdana"/>
          <w:b w:val="1"/>
          <w:i w:val="0"/>
          <w:bCs w:val="0"/>
          <w:caps w:val="0"/>
          <w:noProof w:val="0"/>
          <w:vanish w:val="0"/>
          <w:color w:val="222222"/>
          <w:sz w:val="24"/>
          <w:u w:val="single"/>
          <w:shd w:val="clear" w:color="auto" w:fill="auto"/>
          <w:vertAlign w:val="baseline"/>
          <w:lang/>
        </w:rPr>
        <w:t>MRI LUMBOSACRAL SPINE</w:t>
      </w:r>
    </w:p>
    <w:p>
      <w:pPr>
        <w:widowControl w:val="1"/>
        <w:shd w:val="clear" w:fill="FFFFFF"/>
        <w:ind w:left="0" w:right="0"/>
        <w:bidi w:val="0"/>
        <w:jc w:val="both"/>
        <w:rPr>
          <w:rFonts w:ascii="Verdana" w:hAnsi="Verdana"/>
          <w:b w:val="0"/>
          <w:i w:val="1"/>
          <w:bCs w:val="0"/>
          <w:caps w:val="0"/>
          <w:noProof w:val="0"/>
          <w:vanish w:val="0"/>
          <w:color w:val="222222"/>
          <w:sz w:val="24"/>
          <w:u w:val="none"/>
          <w:shd w:val="clear" w:color="auto" w:fill="auto"/>
          <w:vertAlign w:val="baseline"/>
          <w:lang/>
        </w:rPr>
      </w:pPr>
      <w:r>
        <w:rPr>
          <w:rFonts w:ascii="Verdana" w:hAnsi="Verdana"/>
          <w:b w:val="0"/>
          <w:i w:val="1"/>
          <w:bCs w:val="0"/>
          <w:caps w:val="0"/>
          <w:noProof w:val="0"/>
          <w:vanish w:val="0"/>
          <w:color w:val="222222"/>
          <w:sz w:val="24"/>
          <w:u w:val="none"/>
          <w:shd w:val="clear" w:color="auto" w:fill="auto"/>
          <w:vertAlign w:val="baseline"/>
          <w:lang/>
        </w:rPr>
        <w:t> </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Technique</w:t>
      </w:r>
    </w:p>
    <w:p>
      <w:pPr>
        <w:widowControl w:val="1"/>
        <w:shd w:val="clear" w:fill="FFFFFF"/>
        <w:ind w:left="0" w:right="0"/>
        <w:bidi w:val="0"/>
        <w:jc w:val="both"/>
        <w:rPr>
          <w:rFonts w:ascii="Verdana" w:hAnsi="Verdana"/>
          <w:b w:val="0"/>
          <w:i w:val="1"/>
          <w:bCs w:val="0"/>
          <w:caps w:val="0"/>
          <w:noProof w:val="0"/>
          <w:vanish w:val="0"/>
          <w:color w:val="222222"/>
          <w:sz w:val="24"/>
          <w:u w:val="none"/>
          <w:shd w:val="clear" w:color="auto" w:fill="auto"/>
          <w:vertAlign w:val="baseline"/>
          <w:lang/>
        </w:rPr>
      </w:pPr>
      <w:r>
        <w:rPr>
          <w:rFonts w:ascii="Verdana" w:hAnsi="Verdana"/>
          <w:b w:val="0"/>
          <w:i w:val="1"/>
          <w:bCs w:val="0"/>
          <w:caps w:val="0"/>
          <w:noProof w:val="0"/>
          <w:vanish w:val="0"/>
          <w:color w:val="222222"/>
          <w:sz w:val="24"/>
          <w:u w:val="none"/>
          <w:shd w:val="clear" w:color="auto" w:fill="auto"/>
          <w:vertAlign w:val="baseline"/>
          <w:lang/>
        </w:rPr>
        <w:t> </w:t>
      </w:r>
    </w:p>
    <w:p>
      <w:pPr>
        <w:widowControl w:val="1"/>
        <w:shd w:val="clear" w:fill="FFFFFF"/>
        <w:ind w:left="0" w:right="0"/>
        <w:bidi w:val="0"/>
        <w:jc w:val="both"/>
        <w:rPr>
          <w:rFonts w:ascii="Verdana" w:hAnsi="Verdana"/>
          <w:b w:val="0"/>
          <w:i w:val="1"/>
          <w:bCs w:val="0"/>
          <w:caps w:val="0"/>
          <w:noProof w:val="0"/>
          <w:vanish w:val="0"/>
          <w:color w:val="auto"/>
          <w:sz w:val="24"/>
          <w:u w:val="none"/>
          <w:shd w:val="clear" w:color="auto" w:fill="auto"/>
          <w:vertAlign w:val="baseline"/>
          <w:lang/>
        </w:rPr>
      </w:pPr>
      <w:r>
        <w:rPr>
          <w:rFonts w:ascii="Verdana" w:hAnsi="Verdana"/>
          <w:b w:val="0"/>
          <w:i w:val="1"/>
          <w:bCs w:val="0"/>
          <w:caps w:val="0"/>
          <w:noProof w:val="0"/>
          <w:vanish w:val="0"/>
          <w:color w:val="222222"/>
          <w:sz w:val="24"/>
          <w:u w:val="none"/>
          <w:shd w:val="clear" w:color="auto" w:fill="auto"/>
          <w:vertAlign w:val="baseline"/>
          <w:lang/>
        </w:rPr>
        <w:t xml:space="preserve">MR imaging of the lumbo sacral spine was performed and high-resolution T1-and T2-weighted serial sections obtained in the sagittal and axial planes with fat suppressed T2W sagittal images also obtained.        </w:t>
      </w:r>
      <w:r>
        <w:rPr>
          <w:rFonts w:ascii="Verdana" w:hAnsi="Verdana"/>
          <w:b w:val="0"/>
          <w:i w:val="1"/>
          <w:bCs w:val="0"/>
          <w:caps w:val="0"/>
          <w:noProof w:val="0"/>
          <w:vanish w:val="0"/>
          <w:color w:val="auto"/>
          <w:sz w:val="24"/>
          <w:u w:val="none"/>
          <w:shd w:val="clear" w:color="auto" w:fill="auto"/>
          <w:vertAlign w:val="baseline"/>
          <w:lang/>
        </w:rPr>
        <w:t>Post contrast images were obtained in axial, sagittal and coronal planes.</w:t>
      </w:r>
    </w:p>
    <w:p>
      <w:pPr>
        <w:widowControl w:val="1"/>
        <w:shd w:val="clear" w:fill="FFFFFF"/>
        <w:ind w:left="0" w:right="0"/>
        <w:bidi w:val="0"/>
        <w:jc w:val="both"/>
        <w:rPr>
          <w:rFonts w:ascii="Verdana" w:hAnsi="Verdana"/>
          <w:b w:val="0"/>
          <w:i w:val="1"/>
          <w:bCs w:val="0"/>
          <w:caps w:val="0"/>
          <w:noProof w:val="0"/>
          <w:vanish w:val="0"/>
          <w:color w:val="222222"/>
          <w:sz w:val="24"/>
          <w:u w:val="none"/>
          <w:shd w:val="clear" w:color="auto" w:fill="auto"/>
          <w:vertAlign w:val="baseline"/>
          <w:lang/>
        </w:rPr>
      </w:pPr>
      <w:r>
        <w:rPr>
          <w:rFonts w:ascii="Verdana" w:hAnsi="Verdana"/>
          <w:b w:val="0"/>
          <w:i w:val="1"/>
          <w:bCs w:val="0"/>
          <w:caps w:val="0"/>
          <w:noProof w:val="0"/>
          <w:vanish w:val="0"/>
          <w:color w:val="222222"/>
          <w:sz w:val="24"/>
          <w:u w:val="none"/>
          <w:shd w:val="clear" w:color="auto" w:fill="auto"/>
          <w:vertAlign w:val="baseline"/>
          <w:lang/>
        </w:rPr>
        <w:t xml:space="preserve"> </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Observation</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 </w:t>
      </w:r>
    </w:p>
    <w:p>
      <w:pPr>
        <w:widowControl w:val="1"/>
        <w:ind w:left="0" w:right="0"/>
        <w:bidi w:val="0"/>
        <w:jc w:val="both"/>
        <w:rPr>
          <w:rFonts w:ascii="Verdana" w:hAnsi="Verdana"/>
          <w:b w:val="0"/>
          <w:i w:val="0"/>
          <w:bCs w:val="0"/>
          <w:caps w:val="0"/>
          <w:noProof w:val="0"/>
          <w:vanish w:val="0"/>
          <w:color w:val="auto"/>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Lumbar lordosis is straightened with retrolisthesis of L1 over L2, L2 over L3, L3 over L4, anterolishtesis of L5 over S1 vertebra with defect of pars interarticularis. Osteophytes are seen at multiple levels and type II end plate changes at L5-S1 level. All the vertebrae in view show normal heights .</w:t>
      </w:r>
      <w:r>
        <w:rPr>
          <w:rFonts w:ascii="Verdana" w:hAnsi="Verdana"/>
          <w:b w:val="0"/>
          <w:i w:val="0"/>
          <w:bCs w:val="0"/>
          <w:caps w:val="0"/>
          <w:noProof w:val="0"/>
          <w:vanish w:val="0"/>
          <w:color w:val="auto"/>
          <w:sz w:val="24"/>
          <w:u w:val="none"/>
          <w:shd w:val="clear" w:color="auto" w:fill="auto"/>
          <w:vertAlign w:val="baseline"/>
          <w:lang/>
        </w:rPr>
        <w:t xml:space="preserve"> The vertebral bodies in view shows T1/T2W hyperintensity suggestive of osteoporosis. </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 xml:space="preserve"> </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Disc desiccation is noted at multiple levels.</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 </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L1-L2:  Mild diffuse disc bulge indenting the thecal sac and ventral nerve roots and encroaching upon inferior aspect of bilateral neural foramina with consequential compressive radiculopathy.</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 xml:space="preserve"> </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L2-L3:  Mild diffuse disc bulge with mild broad based posterior disc protrusion is seen, indenting the thecal sac and ventral nerve roots and encroaching upon inferior aspect of bilateral neural foramina with consequential compressive radiculopathy.</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 </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 xml:space="preserve">L3-L4:  Mild diffuse disc bulge with posterocentral subligamentous disc extrusion is seen, indenting the thecal sac and ventral nerve roots and encroaching upon inferior aspect of bilateral neural foramina with consequential compressive radiculopathy and it is causing secondary canal stenosis  (sagittal canal diameter is about 9 mm).</w:t>
      </w:r>
    </w:p>
    <w:p>
      <w:pPr>
        <w:widowControl w:val="1"/>
        <w:shd w:val="clear" w:fill="FFFFFF"/>
        <w:ind w:left="0" w:right="0"/>
        <w:bidi w:val="0"/>
        <w:jc w:val="both"/>
      </w:pP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 xml:space="preserve">L4-L5:  </w:t>
      </w:r>
      <w:bookmarkStart w:id="0" w:name="_Hlk167100724"/>
      <w:r>
        <w:rPr>
          <w:rFonts w:ascii="Verdana" w:hAnsi="Verdana"/>
          <w:b w:val="0"/>
          <w:i w:val="0"/>
          <w:bCs w:val="0"/>
          <w:caps w:val="0"/>
          <w:noProof w:val="0"/>
          <w:vanish w:val="0"/>
          <w:color w:val="222222"/>
          <w:sz w:val="24"/>
          <w:u w:val="none"/>
          <w:shd w:val="clear" w:color="auto" w:fill="auto"/>
          <w:vertAlign w:val="baseline"/>
          <w:lang/>
        </w:rPr>
        <w:t>Mild diffuse disc bulge with mild broad based posterior disc protrusion is seen, indenting the thecal sac and ventral nerve roots and encroaching upon inferior aspect of bilateral neural foramina with consequential compressive radiculopathy.</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bookmarkEnd w:id="0"/>
      <w:r>
        <w:rPr>
          <w:rFonts w:ascii="Verdana" w:hAnsi="Verdana"/>
          <w:b w:val="0"/>
          <w:i w:val="0"/>
          <w:bCs w:val="0"/>
          <w:caps w:val="0"/>
          <w:noProof w:val="0"/>
          <w:vanish w:val="0"/>
          <w:color w:val="222222"/>
          <w:sz w:val="24"/>
          <w:u w:val="none"/>
          <w:shd w:val="clear" w:color="auto" w:fill="auto"/>
          <w:vertAlign w:val="baseline"/>
          <w:lang/>
        </w:rPr>
        <w:t> </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 xml:space="preserve">L5-S1: Diffuse disc bulge with mild broad based posterior disc protrusion is seen, indenting the thecal sac and ventral nerve roots and encroaching upon inferior aspect of bilateral neural foramina with consequential compressive radiculopathy and it is causing secondary canal stenosis  (sagittal canal diameter is about 10 mm).</w:t>
      </w:r>
    </w:p>
    <w:p>
      <w:pPr>
        <w:widowControl w:val="1"/>
        <w:shd w:val="clear" w:fill="FFFFFF"/>
        <w:ind w:left="0" w:right="0"/>
        <w:bidi w:val="0"/>
        <w:jc w:val="both"/>
      </w:pP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 xml:space="preserve">No abnormal parenchymal or leptomeningeal enhancement is seen, </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 xml:space="preserve"> </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Primary bony canal is adequate with no evidence of stenosis. Lower dorsal cord and conus medullaris and descending nerve roots of cauda equina are normal. Thecal sac shows a normal CSF signal intensity. No significant pre/paravertebral collection is seen.</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 </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 xml:space="preserve">There is fatty marrow healing changes noted at sacral and iliac aspect of bilateral sacroiliac  joints suggestive of bilateral sacroiltis </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 </w:t>
      </w:r>
    </w:p>
    <w:p>
      <w:pPr>
        <w:widowControl w:val="1"/>
        <w:shd w:val="clear" w:fill="FFFFFF"/>
        <w:ind w:left="0" w:right="0"/>
        <w:bidi w:val="0"/>
        <w:jc w:val="both"/>
        <w:rPr>
          <w:rFonts w:ascii="Verdana" w:hAnsi="Verdana"/>
          <w:b w:val="1"/>
          <w:i w:val="0"/>
          <w:bCs w:val="0"/>
          <w:caps w:val="0"/>
          <w:noProof w:val="0"/>
          <w:vanish w:val="0"/>
          <w:color w:val="222222"/>
          <w:sz w:val="24"/>
          <w:u w:val="none"/>
          <w:shd w:val="clear" w:color="auto" w:fill="auto"/>
          <w:vertAlign w:val="baseline"/>
          <w:lang/>
        </w:rPr>
      </w:pPr>
      <w:r>
        <w:rPr>
          <w:rFonts w:ascii="Verdana" w:hAnsi="Verdana"/>
          <w:b w:val="1"/>
          <w:i w:val="0"/>
          <w:bCs w:val="0"/>
          <w:caps w:val="0"/>
          <w:noProof w:val="0"/>
          <w:vanish w:val="0"/>
          <w:color w:val="222222"/>
          <w:sz w:val="24"/>
          <w:u w:val="none"/>
          <w:shd w:val="clear" w:color="auto" w:fill="auto"/>
          <w:vertAlign w:val="baseline"/>
          <w:lang/>
        </w:rPr>
        <w:t>OPINION:-  MR findings reveals</w:t>
      </w:r>
    </w:p>
    <w:p>
      <w:pPr>
        <w:widowControl w:val="1"/>
        <w:numPr>
          <w:ilvl w:val="0"/>
          <w:numId w:val="2"/>
        </w:numPr>
        <w:shd w:val="clear" w:fill="FFFFFF"/>
        <w:ind w:hanging="360" w:left="720" w:right="0"/>
        <w:contextualSpacing w:val="1"/>
        <w:bidi w:val="0"/>
        <w:jc w:val="both"/>
        <w:rPr>
          <w:rFonts w:ascii="Verdana" w:hAnsi="Verdana"/>
          <w:b w:val="1"/>
          <w:i w:val="0"/>
          <w:bCs w:val="0"/>
          <w:caps w:val="0"/>
          <w:noProof w:val="0"/>
          <w:vanish w:val="0"/>
          <w:color w:val="222222"/>
          <w:sz w:val="24"/>
          <w:u w:val="none"/>
          <w:shd w:val="clear" w:color="auto" w:fill="auto"/>
          <w:vertAlign w:val="baseline"/>
          <w:lang/>
        </w:rPr>
      </w:pPr>
      <w:r>
        <w:rPr>
          <w:rFonts w:ascii="Verdana" w:hAnsi="Verdana"/>
          <w:b w:val="1"/>
          <w:i w:val="0"/>
          <w:bCs w:val="0"/>
          <w:caps w:val="0"/>
          <w:noProof w:val="0"/>
          <w:vanish w:val="0"/>
          <w:color w:val="222222"/>
          <w:sz w:val="24"/>
          <w:u w:val="none"/>
          <w:shd w:val="clear" w:color="auto" w:fill="auto"/>
          <w:vertAlign w:val="baseline"/>
          <w:lang/>
        </w:rPr>
        <w:t xml:space="preserve">Lumbar spondylosis, </w:t>
      </w:r>
    </w:p>
    <w:p>
      <w:pPr>
        <w:widowControl w:val="1"/>
        <w:numPr>
          <w:ilvl w:val="0"/>
          <w:numId w:val="2"/>
        </w:numPr>
        <w:shd w:val="clear" w:fill="FFFFFF"/>
        <w:ind w:hanging="360" w:left="720" w:right="0"/>
        <w:contextualSpacing w:val="1"/>
        <w:bidi w:val="0"/>
        <w:jc w:val="both"/>
        <w:rPr>
          <w:rFonts w:ascii="Verdana" w:hAnsi="Verdana"/>
          <w:b w:val="1"/>
          <w:i w:val="0"/>
          <w:bCs w:val="0"/>
          <w:caps w:val="0"/>
          <w:noProof w:val="0"/>
          <w:vanish w:val="0"/>
          <w:color w:val="222222"/>
          <w:sz w:val="24"/>
          <w:u w:val="none"/>
          <w:shd w:val="clear" w:color="auto" w:fill="auto"/>
          <w:vertAlign w:val="baseline"/>
          <w:lang/>
        </w:rPr>
      </w:pPr>
      <w:r>
        <w:rPr>
          <w:rFonts w:ascii="Verdana" w:hAnsi="Verdana"/>
          <w:b w:val="1"/>
          <w:i w:val="0"/>
          <w:bCs w:val="0"/>
          <w:caps w:val="0"/>
          <w:noProof w:val="0"/>
          <w:vanish w:val="0"/>
          <w:color w:val="222222"/>
          <w:sz w:val="24"/>
          <w:u w:val="none"/>
          <w:shd w:val="clear" w:color="auto" w:fill="auto"/>
          <w:vertAlign w:val="baseline"/>
          <w:lang/>
        </w:rPr>
        <w:t>L1-L2:  Mild diffuse disc bulge indenting the thecal sac and ventral nerve roots and encroaching upon inferior aspect of bilateral neural foramina with consequential compressive radiculopathy.</w:t>
      </w:r>
    </w:p>
    <w:p>
      <w:pPr>
        <w:widowControl w:val="1"/>
        <w:shd w:val="clear" w:fill="FFFFFF"/>
        <w:ind w:firstLine="84" w:left="0" w:right="0"/>
        <w:bidi w:val="0"/>
        <w:jc w:val="both"/>
      </w:pPr>
    </w:p>
    <w:p>
      <w:pPr>
        <w:widowControl w:val="1"/>
        <w:numPr>
          <w:ilvl w:val="0"/>
          <w:numId w:val="2"/>
        </w:numPr>
        <w:shd w:val="clear" w:fill="FFFFFF"/>
        <w:ind w:hanging="360" w:left="720" w:right="0"/>
        <w:contextualSpacing w:val="1"/>
        <w:bidi w:val="0"/>
        <w:jc w:val="both"/>
        <w:rPr>
          <w:rFonts w:ascii="Verdana" w:hAnsi="Verdana"/>
          <w:b w:val="1"/>
          <w:i w:val="0"/>
          <w:bCs w:val="0"/>
          <w:caps w:val="0"/>
          <w:noProof w:val="0"/>
          <w:vanish w:val="0"/>
          <w:color w:val="222222"/>
          <w:sz w:val="24"/>
          <w:u w:val="none"/>
          <w:shd w:val="clear" w:color="auto" w:fill="auto"/>
          <w:vertAlign w:val="baseline"/>
          <w:lang/>
        </w:rPr>
      </w:pPr>
      <w:r>
        <w:rPr>
          <w:rFonts w:ascii="Verdana" w:hAnsi="Verdana"/>
          <w:b w:val="1"/>
          <w:i w:val="0"/>
          <w:bCs w:val="0"/>
          <w:caps w:val="0"/>
          <w:noProof w:val="0"/>
          <w:vanish w:val="0"/>
          <w:color w:val="222222"/>
          <w:sz w:val="24"/>
          <w:u w:val="none"/>
          <w:shd w:val="clear" w:color="auto" w:fill="auto"/>
          <w:vertAlign w:val="baseline"/>
          <w:lang/>
        </w:rPr>
        <w:t>L2-L3:  Mild diffuse disc bulge with mild broad based posterior disc protrusion, indenting the thecal sac and ventral nerve roots and encroaching upon inferior aspect of bilateral neural foramina with consequential compressive radiculopathy.</w:t>
      </w:r>
    </w:p>
    <w:p>
      <w:pPr>
        <w:widowControl w:val="1"/>
        <w:numPr>
          <w:ilvl w:val="0"/>
          <w:numId w:val="2"/>
        </w:numPr>
        <w:shd w:val="clear" w:fill="FFFFFF"/>
        <w:ind w:hanging="360" w:left="720" w:right="0"/>
        <w:contextualSpacing w:val="1"/>
        <w:bidi w:val="0"/>
        <w:jc w:val="both"/>
        <w:rPr>
          <w:rFonts w:ascii="Verdana" w:hAnsi="Verdana"/>
          <w:b w:val="1"/>
          <w:i w:val="0"/>
          <w:bCs w:val="0"/>
          <w:caps w:val="0"/>
          <w:noProof w:val="0"/>
          <w:vanish w:val="0"/>
          <w:color w:val="222222"/>
          <w:sz w:val="24"/>
          <w:u w:val="none"/>
          <w:shd w:val="clear" w:color="auto" w:fill="auto"/>
          <w:vertAlign w:val="baseline"/>
          <w:lang/>
        </w:rPr>
      </w:pPr>
      <w:r>
        <w:rPr>
          <w:rFonts w:ascii="Verdana" w:hAnsi="Verdana"/>
          <w:b w:val="1"/>
          <w:i w:val="0"/>
          <w:bCs w:val="0"/>
          <w:caps w:val="0"/>
          <w:noProof w:val="0"/>
          <w:vanish w:val="0"/>
          <w:color w:val="222222"/>
          <w:sz w:val="24"/>
          <w:u w:val="none"/>
          <w:shd w:val="clear" w:color="auto" w:fill="auto"/>
          <w:vertAlign w:val="baseline"/>
          <w:lang/>
        </w:rPr>
        <w:t xml:space="preserve">L3-L4:  Mild diffuse disc bulge with posterocentral subligamentous disc extrusion, indenting the thecal sac and ventral nerve roots and encroaching upon inferior aspect of bilateral neural foramina with consequential compressive radiculopathy and it is causing secondary canal stenosis  (sagittal canal diameter is about 9 mm).</w:t>
      </w:r>
    </w:p>
    <w:p>
      <w:pPr>
        <w:widowControl w:val="1"/>
        <w:numPr>
          <w:ilvl w:val="0"/>
          <w:numId w:val="2"/>
        </w:numPr>
        <w:shd w:val="clear" w:fill="FFFFFF"/>
        <w:ind w:hanging="360" w:left="720" w:right="0"/>
        <w:contextualSpacing w:val="1"/>
        <w:bidi w:val="0"/>
        <w:jc w:val="both"/>
        <w:rPr>
          <w:rFonts w:ascii="Verdana" w:hAnsi="Verdana"/>
          <w:b w:val="1"/>
          <w:i w:val="0"/>
          <w:bCs w:val="0"/>
          <w:caps w:val="0"/>
          <w:noProof w:val="0"/>
          <w:vanish w:val="0"/>
          <w:color w:val="222222"/>
          <w:sz w:val="24"/>
          <w:u w:val="none"/>
          <w:shd w:val="clear" w:color="auto" w:fill="auto"/>
          <w:vertAlign w:val="baseline"/>
          <w:lang/>
        </w:rPr>
      </w:pPr>
      <w:r>
        <w:rPr>
          <w:rFonts w:ascii="Verdana" w:hAnsi="Verdana"/>
          <w:b w:val="1"/>
          <w:i w:val="0"/>
          <w:bCs w:val="0"/>
          <w:caps w:val="0"/>
          <w:noProof w:val="0"/>
          <w:vanish w:val="0"/>
          <w:color w:val="222222"/>
          <w:sz w:val="24"/>
          <w:u w:val="none"/>
          <w:shd w:val="clear" w:color="auto" w:fill="auto"/>
          <w:vertAlign w:val="baseline"/>
          <w:lang/>
        </w:rPr>
        <w:t>L4-L5:  Mild diffuse disc bulge with mild broad based posterior disc protrusion, indenting the thecal sac and ventral nerve roots and encroaching upon inferior aspect of bilateral neural foramina with consequential compressive radiculopathy.</w:t>
      </w:r>
    </w:p>
    <w:p>
      <w:pPr>
        <w:widowControl w:val="1"/>
        <w:numPr>
          <w:ilvl w:val="0"/>
          <w:numId w:val="2"/>
        </w:numPr>
        <w:shd w:val="clear" w:fill="FFFFFF"/>
        <w:ind w:hanging="360" w:left="720" w:right="0"/>
        <w:contextualSpacing w:val="1"/>
        <w:bidi w:val="0"/>
        <w:jc w:val="both"/>
        <w:rPr>
          <w:rFonts w:ascii="Verdana" w:hAnsi="Verdana"/>
          <w:b w:val="1"/>
          <w:i w:val="0"/>
          <w:bCs w:val="0"/>
          <w:caps w:val="0"/>
          <w:noProof w:val="0"/>
          <w:vanish w:val="0"/>
          <w:color w:val="222222"/>
          <w:sz w:val="24"/>
          <w:u w:val="none"/>
          <w:shd w:val="clear" w:color="auto" w:fill="auto"/>
          <w:vertAlign w:val="baseline"/>
          <w:lang/>
        </w:rPr>
      </w:pPr>
      <w:r>
        <w:rPr>
          <w:rFonts w:ascii="Verdana" w:hAnsi="Verdana"/>
          <w:b w:val="1"/>
          <w:i w:val="0"/>
          <w:bCs w:val="0"/>
          <w:caps w:val="0"/>
          <w:noProof w:val="0"/>
          <w:vanish w:val="0"/>
          <w:color w:val="222222"/>
          <w:sz w:val="24"/>
          <w:u w:val="none"/>
          <w:shd w:val="clear" w:color="auto" w:fill="auto"/>
          <w:vertAlign w:val="baseline"/>
          <w:lang/>
        </w:rPr>
        <w:t xml:space="preserve">L5-S1: Diffuse disc bulge with mild broad based posterior disc protrusion, indenting the thecal sac and ventral nerve roots and encroaching upon inferior aspect of bilateral neural foramina with consequential compressive radiculopathy and it is causing secondary canal stenosis  (sagittal canal diameter is about 10 mm).</w:t>
      </w:r>
    </w:p>
    <w:p>
      <w:pPr>
        <w:widowControl w:val="1"/>
        <w:numPr>
          <w:ilvl w:val="0"/>
          <w:numId w:val="2"/>
        </w:numPr>
        <w:shd w:val="clear" w:fill="FFFFFF"/>
        <w:ind w:hanging="360" w:left="720" w:right="0"/>
        <w:contextualSpacing w:val="1"/>
        <w:bidi w:val="0"/>
        <w:jc w:val="both"/>
        <w:rPr>
          <w:rFonts w:ascii="Verdana" w:hAnsi="Verdana"/>
          <w:b w:val="1"/>
          <w:i w:val="0"/>
          <w:bCs w:val="0"/>
          <w:caps w:val="0"/>
          <w:noProof w:val="0"/>
          <w:vanish w:val="0"/>
          <w:color w:val="222222"/>
          <w:sz w:val="24"/>
          <w:u w:val="none"/>
          <w:shd w:val="clear" w:color="auto" w:fill="auto"/>
          <w:vertAlign w:val="baseline"/>
          <w:lang/>
        </w:rPr>
      </w:pPr>
      <w:r>
        <w:rPr>
          <w:rFonts w:ascii="Verdana" w:hAnsi="Verdana"/>
          <w:b w:val="1"/>
          <w:i w:val="0"/>
          <w:bCs w:val="0"/>
          <w:caps w:val="0"/>
          <w:noProof w:val="0"/>
          <w:vanish w:val="0"/>
          <w:color w:val="222222"/>
          <w:sz w:val="24"/>
          <w:u w:val="none"/>
          <w:shd w:val="clear" w:color="auto" w:fill="auto"/>
          <w:vertAlign w:val="baseline"/>
          <w:lang/>
        </w:rPr>
        <w:t xml:space="preserve">Fatty marrow healing changes   at sacral and iliac aspect of bilateral sacroiliac  joints suggestive of bilateral sacroiltis</w:t>
      </w:r>
    </w:p>
    <w:p>
      <w:pPr>
        <w:widowControl w:val="1"/>
        <w:shd w:val="clear" w:fill="FFFFFF"/>
        <w:ind w:left="0" w:right="0"/>
        <w:bidi w:val="0"/>
        <w:jc w:val="both"/>
      </w:pP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Please correlate clinically.</w:t>
      </w: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 </w:t>
      </w:r>
    </w:p>
    <w:p>
      <w:pPr>
        <w:widowControl w:val="1"/>
        <w:shd w:val="clear" w:fill="FFFFFF"/>
        <w:ind w:left="0" w:right="0"/>
        <w:bidi w:val="0"/>
        <w:jc w:val="both"/>
      </w:pPr>
    </w:p>
    <w:p>
      <w:pPr>
        <w:widowControl w:val="1"/>
        <w:shd w:val="clear" w:fill="FFFFFF"/>
        <w:ind w:left="0" w:right="0"/>
        <w:bidi w:val="0"/>
        <w:jc w:val="both"/>
        <w:rPr>
          <w:rFonts w:ascii="Verdana" w:hAnsi="Verdana"/>
          <w:b w:val="0"/>
          <w:i w:val="0"/>
          <w:bCs w:val="0"/>
          <w:caps w:val="0"/>
          <w:noProof w:val="0"/>
          <w:vanish w:val="0"/>
          <w:color w:val="222222"/>
          <w:sz w:val="24"/>
          <w:u w:val="none"/>
          <w:shd w:val="clear" w:color="auto" w:fill="auto"/>
          <w:vertAlign w:val="baseline"/>
          <w:lang/>
        </w:rPr>
      </w:pPr>
      <w:r>
        <w:rPr>
          <w:rFonts w:ascii="Verdana" w:hAnsi="Verdana"/>
          <w:b w:val="0"/>
          <w:i w:val="0"/>
          <w:bCs w:val="0"/>
          <w:caps w:val="0"/>
          <w:noProof w:val="0"/>
          <w:vanish w:val="0"/>
          <w:color w:val="222222"/>
          <w:sz w:val="24"/>
          <w:u w:val="none"/>
          <w:shd w:val="clear" w:color="auto" w:fill="auto"/>
          <w:vertAlign w:val="baseline"/>
          <w:lang/>
        </w:rPr>
        <w:t> </w:t>
      </w:r>
    </w:p>
    <w:p>
      <w:pPr>
        <w:widowControl w:val="1"/>
        <w:ind w:left="0" w:right="0"/>
        <w:bidi w:val="0"/>
        <w:jc w:val="left"/>
      </w:pPr>
    </w:p>
    <w:p>
      <w:pPr>
        <w:widowControl w:val="1"/>
        <w:ind w:left="0" w:right="0"/>
        <w:bidi w:val="0"/>
        <w:jc w:val="left"/>
      </w:pPr>
      <w:r>
        <w:drawing>
          <wp:inline xmlns:wp="http://schemas.openxmlformats.org/drawingml/2006/wordprocessingDrawing" distT="0" distB="0" distL="0" distR="0">
            <wp:extent cx="1381125" cy="6477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1"/>
                    <a:srcRect/>
                    <a:stretch>
                      <a:fillRect/>
                    </a:stretch>
                  </pic:blipFill>
                  <pic:spPr>
                    <a:xfrm>
                      <a:off x="0" y="0"/>
                      <a:ext cx="1381125" cy="647700"/>
                    </a:xfrm>
                    <a:prstGeom prst="rect"/>
                  </pic:spPr>
                </pic:pic>
              </a:graphicData>
            </a:graphic>
          </wp:inline>
        </w:drawing>
      </w:r>
      <w:r>
        <w:t xml:space="preserve"> </w:t>
      </w:r>
    </w:p>
    <w:p>
      <w:pPr>
        <w:widowControl w:val="1"/>
        <w:ind w:left="0" w:right="0"/>
        <w:bidi w:val="0"/>
        <w:jc w:val="left"/>
      </w:pPr>
      <w:r>
        <w:t xml:space="preserve">Dr. Sacchidanand </w:t>
      </w:r>
    </w:p>
    <w:p>
      <w:pPr>
        <w:widowControl w:val="1"/>
        <w:ind w:left="0" w:right="0"/>
        <w:bidi w:val="0"/>
        <w:jc w:val="left"/>
      </w:pPr>
      <w:r>
        <w:t>MBBS, MD Radiodiagnosis (Reg.No.-24000)</w:t>
      </w:r>
    </w:p>
    <w:p>
      <w:pPr>
        <w:widowControl w:val="1"/>
        <w:ind w:left="0" w:right="0"/>
        <w:bidi w:val="0"/>
        <w:jc w:val="left"/>
      </w:pPr>
    </w:p>
    <w:p>
      <w:pPr>
        <w:shd w:val="clear" w:fill="FFFFFF"/>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type w:val="nextPage"/>
      <w:pgMar w:left="1700" w:right="850" w:top="1133" w:bottom="1133" w:header="1512" w:footer="708"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mc:Ignorable="wp14 w14 w15">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mc:Ignorable="wp14 w14 w15">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mc:Ignorable="wp14 w14 w15">
  <w:p/>
</w:hdr>
</file>

<file path=word/numbering.xml><?xml version="1.0" encoding="utf-8"?>
<w:numbering xmlns:w="http://schemas.openxmlformats.org/wordprocessingml/2006/main">
  <w:abstractNum w:abstractNumId="0">
    <w:nsid w:val="00000001"/>
    <w:multiLevelType w:val="hybridMultilevel"/>
    <w:lvl w:ilvl="0" w:tplc="08090001">
      <w:start w:val="1"/>
      <w:numFmt w:val="bullet"/>
      <w:suff w:val="tab"/>
      <w:lvlText w:val=""/>
      <w:lvlJc w:val="left"/>
      <w:pPr>
        <w:spacing w:lineRule="auto" w:line="240" w:beforeAutospacing="0" w:afterAutospacing="0"/>
        <w:ind w:hanging="360" w:left="900"/>
      </w:pPr>
      <w:rPr>
        <w:rFonts w:ascii="Calibri" w:hAnsi="Calibri"/>
      </w:rPr>
    </w:lvl>
    <w:lvl w:ilvl="1" w:tplc="08090003">
      <w:start w:val="1"/>
      <w:numFmt w:val="bullet"/>
      <w:suff w:val="tab"/>
      <w:lvlText w:val="o"/>
      <w:lvlJc w:val="left"/>
      <w:pPr>
        <w:spacing w:lineRule="auto" w:line="240" w:beforeAutospacing="0" w:afterAutospacing="0"/>
        <w:ind w:hanging="360" w:left="1620"/>
      </w:pPr>
      <w:rPr>
        <w:rFonts w:ascii="Courier New" w:hAnsi="Courier New"/>
      </w:rPr>
    </w:lvl>
    <w:lvl w:ilvl="2" w:tplc="08090005">
      <w:start w:val="1"/>
      <w:numFmt w:val="bullet"/>
      <w:suff w:val="tab"/>
      <w:lvlText w:val=""/>
      <w:lvlJc w:val="left"/>
      <w:pPr>
        <w:spacing w:lineRule="auto" w:line="240" w:beforeAutospacing="0" w:afterAutospacing="0"/>
        <w:ind w:hanging="360" w:left="2340"/>
      </w:pPr>
      <w:rPr>
        <w:rFonts w:ascii="Calibri" w:hAnsi="Calibri"/>
      </w:rPr>
    </w:lvl>
    <w:lvl w:ilvl="3" w:tplc="08090001">
      <w:start w:val="1"/>
      <w:numFmt w:val="bullet"/>
      <w:suff w:val="tab"/>
      <w:lvlText w:val=""/>
      <w:lvlJc w:val="left"/>
      <w:pPr>
        <w:spacing w:lineRule="auto" w:line="240" w:beforeAutospacing="0" w:afterAutospacing="0"/>
        <w:ind w:hanging="360" w:left="3060"/>
      </w:pPr>
      <w:rPr>
        <w:rFonts w:ascii="Calibri" w:hAnsi="Calibri"/>
      </w:rPr>
    </w:lvl>
    <w:lvl w:ilvl="4" w:tplc="08090003">
      <w:start w:val="1"/>
      <w:numFmt w:val="bullet"/>
      <w:suff w:val="tab"/>
      <w:lvlText w:val="o"/>
      <w:lvlJc w:val="left"/>
      <w:pPr>
        <w:spacing w:lineRule="auto" w:line="240" w:beforeAutospacing="0" w:afterAutospacing="0"/>
        <w:ind w:hanging="360" w:left="3780"/>
      </w:pPr>
      <w:rPr>
        <w:rFonts w:ascii="Courier New" w:hAnsi="Courier New"/>
      </w:rPr>
    </w:lvl>
    <w:lvl w:ilvl="5" w:tplc="08090005">
      <w:start w:val="1"/>
      <w:numFmt w:val="bullet"/>
      <w:suff w:val="tab"/>
      <w:lvlText w:val=""/>
      <w:lvlJc w:val="left"/>
      <w:pPr>
        <w:spacing w:lineRule="auto" w:line="240" w:beforeAutospacing="0" w:afterAutospacing="0"/>
        <w:ind w:hanging="360" w:left="4500"/>
      </w:pPr>
      <w:rPr>
        <w:rFonts w:ascii="Calibri" w:hAnsi="Calibri"/>
      </w:rPr>
    </w:lvl>
    <w:lvl w:ilvl="6" w:tplc="08090001">
      <w:start w:val="1"/>
      <w:numFmt w:val="bullet"/>
      <w:suff w:val="tab"/>
      <w:lvlText w:val=""/>
      <w:lvlJc w:val="left"/>
      <w:pPr>
        <w:spacing w:lineRule="auto" w:line="240" w:beforeAutospacing="0" w:afterAutospacing="0"/>
        <w:ind w:hanging="360" w:left="5220"/>
      </w:pPr>
      <w:rPr>
        <w:rFonts w:ascii="Calibri" w:hAnsi="Calibri"/>
      </w:rPr>
    </w:lvl>
    <w:lvl w:ilvl="7" w:tplc="08090003">
      <w:start w:val="1"/>
      <w:numFmt w:val="bullet"/>
      <w:suff w:val="tab"/>
      <w:lvlText w:val="o"/>
      <w:lvlJc w:val="left"/>
      <w:pPr>
        <w:spacing w:lineRule="auto" w:line="240" w:beforeAutospacing="0" w:afterAutospacing="0"/>
        <w:ind w:hanging="360" w:left="5940"/>
      </w:pPr>
      <w:rPr>
        <w:rFonts w:ascii="Courier New" w:hAnsi="Courier New"/>
      </w:rPr>
    </w:lvl>
    <w:lvl w:ilvl="8" w:tplc="08090005">
      <w:start w:val="1"/>
      <w:numFmt w:val="bullet"/>
      <w:suff w:val="tab"/>
      <w:lvlText w:val=""/>
      <w:lvlJc w:val="left"/>
      <w:pPr>
        <w:spacing w:lineRule="auto" w:line="240" w:beforeAutospacing="0" w:afterAutospacing="0"/>
        <w:ind w:hanging="360" w:left="6660"/>
      </w:pPr>
      <w:rPr>
        <w:rFonts w:ascii="Calibri" w:hAnsi="Calibri"/>
      </w:rPr>
    </w:lvl>
  </w:abstractNum>
  <w:abstractNum w:abstractNumId="1">
    <w:nsid w:val="00000002"/>
    <w:multiLevelType w:val="hybridMultilevel"/>
    <w:lvl w:ilvl="0" w:tplc="08090001">
      <w:start w:val="1"/>
      <w:numFmt w:val="bullet"/>
      <w:suff w:val="tab"/>
      <w:lvlText w:val=""/>
      <w:lvlJc w:val="left"/>
      <w:pPr>
        <w:spacing w:lineRule="auto" w:line="240" w:beforeAutospacing="0" w:afterAutospacing="0"/>
        <w:ind w:hanging="360" w:left="720"/>
      </w:pPr>
      <w:rPr>
        <w:rFonts w:ascii="Calibri" w:hAnsi="Calibri"/>
      </w:rPr>
    </w:lvl>
    <w:lvl w:ilvl="1" w:tplc="08090003">
      <w:start w:val="1"/>
      <w:numFmt w:val="bullet"/>
      <w:suff w:val="tab"/>
      <w:lvlText w:val="o"/>
      <w:lvlJc w:val="left"/>
      <w:pPr>
        <w:spacing w:lineRule="auto" w:line="240" w:beforeAutospacing="0" w:afterAutospacing="0"/>
        <w:ind w:hanging="360" w:left="1440"/>
      </w:pPr>
      <w:rPr>
        <w:rFonts w:ascii="Courier New" w:hAnsi="Courier New"/>
      </w:rPr>
    </w:lvl>
    <w:lvl w:ilvl="2" w:tplc="08090005">
      <w:start w:val="1"/>
      <w:numFmt w:val="bullet"/>
      <w:suff w:val="tab"/>
      <w:lvlText w:val=""/>
      <w:lvlJc w:val="left"/>
      <w:pPr>
        <w:spacing w:lineRule="auto" w:line="240" w:beforeAutospacing="0" w:afterAutospacing="0"/>
        <w:ind w:hanging="360" w:left="2160"/>
      </w:pPr>
      <w:rPr>
        <w:rFonts w:ascii="Calibri" w:hAnsi="Calibri"/>
      </w:rPr>
    </w:lvl>
    <w:lvl w:ilvl="3" w:tplc="08090001">
      <w:start w:val="1"/>
      <w:numFmt w:val="bullet"/>
      <w:suff w:val="tab"/>
      <w:lvlText w:val=""/>
      <w:lvlJc w:val="left"/>
      <w:pPr>
        <w:spacing w:lineRule="auto" w:line="240" w:beforeAutospacing="0" w:afterAutospacing="0"/>
        <w:ind w:hanging="360" w:left="2880"/>
      </w:pPr>
      <w:rPr>
        <w:rFonts w:ascii="Calibri" w:hAnsi="Calibri"/>
      </w:rPr>
    </w:lvl>
    <w:lvl w:ilvl="4" w:tplc="08090003">
      <w:start w:val="1"/>
      <w:numFmt w:val="bullet"/>
      <w:suff w:val="tab"/>
      <w:lvlText w:val="o"/>
      <w:lvlJc w:val="left"/>
      <w:pPr>
        <w:spacing w:lineRule="auto" w:line="240" w:beforeAutospacing="0" w:afterAutospacing="0"/>
        <w:ind w:hanging="360" w:left="3600"/>
      </w:pPr>
      <w:rPr>
        <w:rFonts w:ascii="Courier New" w:hAnsi="Courier New"/>
      </w:rPr>
    </w:lvl>
    <w:lvl w:ilvl="5" w:tplc="08090005">
      <w:start w:val="1"/>
      <w:numFmt w:val="bullet"/>
      <w:suff w:val="tab"/>
      <w:lvlText w:val=""/>
      <w:lvlJc w:val="left"/>
      <w:pPr>
        <w:spacing w:lineRule="auto" w:line="240" w:beforeAutospacing="0" w:afterAutospacing="0"/>
        <w:ind w:hanging="360" w:left="4320"/>
      </w:pPr>
      <w:rPr>
        <w:rFonts w:ascii="Calibri" w:hAnsi="Calibri"/>
      </w:rPr>
    </w:lvl>
    <w:lvl w:ilvl="6" w:tplc="08090001">
      <w:start w:val="1"/>
      <w:numFmt w:val="bullet"/>
      <w:suff w:val="tab"/>
      <w:lvlText w:val=""/>
      <w:lvlJc w:val="left"/>
      <w:pPr>
        <w:spacing w:lineRule="auto" w:line="240" w:beforeAutospacing="0" w:afterAutospacing="0"/>
        <w:ind w:hanging="360" w:left="5040"/>
      </w:pPr>
      <w:rPr>
        <w:rFonts w:ascii="Calibri" w:hAnsi="Calibri"/>
      </w:rPr>
    </w:lvl>
    <w:lvl w:ilvl="7" w:tplc="08090003">
      <w:start w:val="1"/>
      <w:numFmt w:val="bullet"/>
      <w:suff w:val="tab"/>
      <w:lvlText w:val="o"/>
      <w:lvlJc w:val="left"/>
      <w:pPr>
        <w:spacing w:lineRule="auto" w:line="240" w:beforeAutospacing="0" w:afterAutospacing="0"/>
        <w:ind w:hanging="360" w:left="5760"/>
      </w:pPr>
      <w:rPr>
        <w:rFonts w:ascii="Courier New" w:hAnsi="Courier New"/>
      </w:rPr>
    </w:lvl>
    <w:lvl w:ilvl="8" w:tplc="08090005">
      <w:start w:val="1"/>
      <w:numFmt w:val="bullet"/>
      <w:suff w:val="tab"/>
      <w:lvlText w:val=""/>
      <w:lvlJc w:val="left"/>
      <w:pPr>
        <w:spacing w:lineRule="auto" w:line="240" w:beforeAutospacing="0" w:afterAutospacing="0"/>
        <w:ind w:hanging="360" w:left="6480"/>
      </w:pPr>
      <w:rPr>
        <w:rFonts w:ascii="Calibri" w:hAnsi="Calibri"/>
      </w:rPr>
    </w:lvl>
  </w:abstractNum>
  <w:abstractNum w:abstractNumId="2">
    <w:nsid w:val="00000003"/>
    <w:multiLevelType w:val="hybridMultilevel"/>
    <w:lvl w:ilvl="0" w:tplc="08090001">
      <w:start w:val="1"/>
      <w:numFmt w:val="bullet"/>
      <w:suff w:val="tab"/>
      <w:lvlText w:val=""/>
      <w:lvlJc w:val="left"/>
      <w:pPr>
        <w:spacing w:lineRule="auto" w:line="240" w:beforeAutospacing="0" w:afterAutospacing="0"/>
        <w:ind w:hanging="360" w:left="900"/>
      </w:pPr>
      <w:rPr>
        <w:rFonts w:ascii="Calibri" w:hAnsi="Calibri"/>
      </w:rPr>
    </w:lvl>
    <w:lvl w:ilvl="1" w:tplc="08090003">
      <w:start w:val="1"/>
      <w:numFmt w:val="bullet"/>
      <w:suff w:val="tab"/>
      <w:lvlText w:val="o"/>
      <w:lvlJc w:val="left"/>
      <w:pPr>
        <w:spacing w:lineRule="auto" w:line="240" w:beforeAutospacing="0" w:afterAutospacing="0"/>
        <w:ind w:hanging="360" w:left="1620"/>
      </w:pPr>
      <w:rPr>
        <w:rFonts w:ascii="Courier New" w:hAnsi="Courier New"/>
      </w:rPr>
    </w:lvl>
    <w:lvl w:ilvl="2" w:tplc="08090005">
      <w:start w:val="1"/>
      <w:numFmt w:val="bullet"/>
      <w:suff w:val="tab"/>
      <w:lvlText w:val=""/>
      <w:lvlJc w:val="left"/>
      <w:pPr>
        <w:spacing w:lineRule="auto" w:line="240" w:beforeAutospacing="0" w:afterAutospacing="0"/>
        <w:ind w:hanging="360" w:left="2340"/>
      </w:pPr>
      <w:rPr>
        <w:rFonts w:ascii="Calibri" w:hAnsi="Calibri"/>
      </w:rPr>
    </w:lvl>
    <w:lvl w:ilvl="3" w:tplc="08090001">
      <w:start w:val="1"/>
      <w:numFmt w:val="bullet"/>
      <w:suff w:val="tab"/>
      <w:lvlText w:val=""/>
      <w:lvlJc w:val="left"/>
      <w:pPr>
        <w:spacing w:lineRule="auto" w:line="240" w:beforeAutospacing="0" w:afterAutospacing="0"/>
        <w:ind w:hanging="360" w:left="3060"/>
      </w:pPr>
      <w:rPr>
        <w:rFonts w:ascii="Calibri" w:hAnsi="Calibri"/>
      </w:rPr>
    </w:lvl>
    <w:lvl w:ilvl="4" w:tplc="08090003">
      <w:start w:val="1"/>
      <w:numFmt w:val="bullet"/>
      <w:suff w:val="tab"/>
      <w:lvlText w:val="o"/>
      <w:lvlJc w:val="left"/>
      <w:pPr>
        <w:spacing w:lineRule="auto" w:line="240" w:beforeAutospacing="0" w:afterAutospacing="0"/>
        <w:ind w:hanging="360" w:left="3780"/>
      </w:pPr>
      <w:rPr>
        <w:rFonts w:ascii="Courier New" w:hAnsi="Courier New"/>
      </w:rPr>
    </w:lvl>
    <w:lvl w:ilvl="5" w:tplc="08090005">
      <w:start w:val="1"/>
      <w:numFmt w:val="bullet"/>
      <w:suff w:val="tab"/>
      <w:lvlText w:val=""/>
      <w:lvlJc w:val="left"/>
      <w:pPr>
        <w:spacing w:lineRule="auto" w:line="240" w:beforeAutospacing="0" w:afterAutospacing="0"/>
        <w:ind w:hanging="360" w:left="4500"/>
      </w:pPr>
      <w:rPr>
        <w:rFonts w:ascii="Calibri" w:hAnsi="Calibri"/>
      </w:rPr>
    </w:lvl>
    <w:lvl w:ilvl="6" w:tplc="08090001">
      <w:start w:val="1"/>
      <w:numFmt w:val="bullet"/>
      <w:suff w:val="tab"/>
      <w:lvlText w:val=""/>
      <w:lvlJc w:val="left"/>
      <w:pPr>
        <w:spacing w:lineRule="auto" w:line="240" w:beforeAutospacing="0" w:afterAutospacing="0"/>
        <w:ind w:hanging="360" w:left="5220"/>
      </w:pPr>
      <w:rPr>
        <w:rFonts w:ascii="Calibri" w:hAnsi="Calibri"/>
      </w:rPr>
    </w:lvl>
    <w:lvl w:ilvl="7" w:tplc="08090003">
      <w:start w:val="1"/>
      <w:numFmt w:val="bullet"/>
      <w:suff w:val="tab"/>
      <w:lvlText w:val="o"/>
      <w:lvlJc w:val="left"/>
      <w:pPr>
        <w:spacing w:lineRule="auto" w:line="240" w:beforeAutospacing="0" w:afterAutospacing="0"/>
        <w:ind w:hanging="360" w:left="5940"/>
      </w:pPr>
      <w:rPr>
        <w:rFonts w:ascii="Courier New" w:hAnsi="Courier New"/>
      </w:rPr>
    </w:lvl>
    <w:lvl w:ilvl="8" w:tplc="08090005">
      <w:start w:val="1"/>
      <w:numFmt w:val="bullet"/>
      <w:suff w:val="tab"/>
      <w:lvlText w:val=""/>
      <w:lvlJc w:val="left"/>
      <w:pPr>
        <w:spacing w:lineRule="auto" w:line="240" w:beforeAutospacing="0" w:afterAutospacing="0"/>
        <w:ind w:hanging="360" w:left="6660"/>
      </w:pPr>
      <w:rPr>
        <w:rFonts w:ascii="Calibri" w:hAnsi="Calibri"/>
      </w:rPr>
    </w:lvl>
  </w:abstractNum>
  <w:abstractNum w:abstractNumId="3">
    <w:nsid w:val="00000004"/>
    <w:multiLevelType w:val="hybridMultilevel"/>
    <w:lvl w:ilvl="0" w:tplc="08090001">
      <w:start w:val="1"/>
      <w:numFmt w:val="bullet"/>
      <w:suff w:val="tab"/>
      <w:lvlText w:val=""/>
      <w:lvlJc w:val="left"/>
      <w:pPr>
        <w:spacing w:lineRule="auto" w:line="240" w:beforeAutospacing="0" w:afterAutospacing="0"/>
        <w:ind w:hanging="360" w:left="720"/>
      </w:pPr>
      <w:rPr>
        <w:rFonts w:ascii="Calibri" w:hAnsi="Calibri"/>
      </w:rPr>
    </w:lvl>
    <w:lvl w:ilvl="1" w:tplc="08090003">
      <w:start w:val="1"/>
      <w:numFmt w:val="bullet"/>
      <w:suff w:val="tab"/>
      <w:lvlText w:val="o"/>
      <w:lvlJc w:val="left"/>
      <w:pPr>
        <w:spacing w:lineRule="auto" w:line="240" w:beforeAutospacing="0" w:afterAutospacing="0"/>
        <w:ind w:hanging="360" w:left="1440"/>
      </w:pPr>
      <w:rPr>
        <w:rFonts w:ascii="Courier New" w:hAnsi="Courier New"/>
      </w:rPr>
    </w:lvl>
    <w:lvl w:ilvl="2" w:tplc="08090005">
      <w:start w:val="1"/>
      <w:numFmt w:val="bullet"/>
      <w:suff w:val="tab"/>
      <w:lvlText w:val=""/>
      <w:lvlJc w:val="left"/>
      <w:pPr>
        <w:spacing w:lineRule="auto" w:line="240" w:beforeAutospacing="0" w:afterAutospacing="0"/>
        <w:ind w:hanging="360" w:left="2160"/>
      </w:pPr>
      <w:rPr>
        <w:rFonts w:ascii="Calibri" w:hAnsi="Calibri"/>
      </w:rPr>
    </w:lvl>
    <w:lvl w:ilvl="3" w:tplc="08090001">
      <w:start w:val="1"/>
      <w:numFmt w:val="bullet"/>
      <w:suff w:val="tab"/>
      <w:lvlText w:val=""/>
      <w:lvlJc w:val="left"/>
      <w:pPr>
        <w:spacing w:lineRule="auto" w:line="240" w:beforeAutospacing="0" w:afterAutospacing="0"/>
        <w:ind w:hanging="360" w:left="2880"/>
      </w:pPr>
      <w:rPr>
        <w:rFonts w:ascii="Calibri" w:hAnsi="Calibri"/>
      </w:rPr>
    </w:lvl>
    <w:lvl w:ilvl="4" w:tplc="08090003">
      <w:start w:val="1"/>
      <w:numFmt w:val="bullet"/>
      <w:suff w:val="tab"/>
      <w:lvlText w:val="o"/>
      <w:lvlJc w:val="left"/>
      <w:pPr>
        <w:spacing w:lineRule="auto" w:line="240" w:beforeAutospacing="0" w:afterAutospacing="0"/>
        <w:ind w:hanging="360" w:left="3600"/>
      </w:pPr>
      <w:rPr>
        <w:rFonts w:ascii="Courier New" w:hAnsi="Courier New"/>
      </w:rPr>
    </w:lvl>
    <w:lvl w:ilvl="5" w:tplc="08090005">
      <w:start w:val="1"/>
      <w:numFmt w:val="bullet"/>
      <w:suff w:val="tab"/>
      <w:lvlText w:val=""/>
      <w:lvlJc w:val="left"/>
      <w:pPr>
        <w:spacing w:lineRule="auto" w:line="240" w:beforeAutospacing="0" w:afterAutospacing="0"/>
        <w:ind w:hanging="360" w:left="4320"/>
      </w:pPr>
      <w:rPr>
        <w:rFonts w:ascii="Calibri" w:hAnsi="Calibri"/>
      </w:rPr>
    </w:lvl>
    <w:lvl w:ilvl="6" w:tplc="08090001">
      <w:start w:val="1"/>
      <w:numFmt w:val="bullet"/>
      <w:suff w:val="tab"/>
      <w:lvlText w:val=""/>
      <w:lvlJc w:val="left"/>
      <w:pPr>
        <w:spacing w:lineRule="auto" w:line="240" w:beforeAutospacing="0" w:afterAutospacing="0"/>
        <w:ind w:hanging="360" w:left="5040"/>
      </w:pPr>
      <w:rPr>
        <w:rFonts w:ascii="Calibri" w:hAnsi="Calibri"/>
      </w:rPr>
    </w:lvl>
    <w:lvl w:ilvl="7" w:tplc="08090003">
      <w:start w:val="1"/>
      <w:numFmt w:val="bullet"/>
      <w:suff w:val="tab"/>
      <w:lvlText w:val="o"/>
      <w:lvlJc w:val="left"/>
      <w:pPr>
        <w:spacing w:lineRule="auto" w:line="240" w:beforeAutospacing="0" w:afterAutospacing="0"/>
        <w:ind w:hanging="360" w:left="5760"/>
      </w:pPr>
      <w:rPr>
        <w:rFonts w:ascii="Courier New" w:hAnsi="Courier New"/>
      </w:rPr>
    </w:lvl>
    <w:lvl w:ilvl="8" w:tplc="08090005">
      <w:start w:val="1"/>
      <w:numFmt w:val="bullet"/>
      <w:suff w:val="tab"/>
      <w:lvlText w:val=""/>
      <w:lvlJc w:val="left"/>
      <w:pPr>
        <w:spacing w:lineRule="auto" w:line="240" w:beforeAutospacing="0" w:afterAutospacing="0"/>
        <w:ind w:hanging="360" w:left="6480"/>
      </w:pPr>
      <w:rPr>
        <w:rFonts w:ascii="Calibri" w:hAnsi="Calibri"/>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2"/>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rFonts w:ascii="Calibri" w:hAnsi="Calibri"/>
    </w:rPr>
  </w:style>
  <w:style w:type="character" w:styleId="C0" w:default="1">
    <w:name w:val="Default Paragraph Font"/>
    <w:semiHidden/>
    <w:rPr/>
  </w:style>
  <w:style w:type="character" w:styleId="C1">
    <w:name w:val="Line Number"/>
    <w:basedOn w:val="C0"/>
    <w:semiHidden/>
    <w:rPr>
      <w:rFonts w:ascii="Calibri" w:hAnsi="Calibri"/>
    </w:rPr>
  </w:style>
  <w:style w:type="character" w:styleId="C2">
    <w:name w:val="Hyperlink"/>
    <w:rPr>
      <w:rFonts w:ascii="Calibri" w:hAnsi="Calibri"/>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rPr>
      <w:rFonts w:ascii="Calibri" w:hAnsi="Calibri"/>
    </w:rPr>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bottom w:w="0"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API/20.1.7.0</Application>
  <AppVersion>20.1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WORKGROUP\DESKTOP-Q8FV2DJ$</dc:creator>
  <dcterms:created xsi:type="dcterms:W3CDTF">2024-05-20T07:06:53Z</dcterms:created>
  <cp:lastModifiedBy>WORKGROUP\DESKTOP-Q8FV2DJ$</cp:lastModifiedBy>
  <dcterms:modified xsi:type="dcterms:W3CDTF">2024-05-20T07:42:23Z</dcterms:modified>
  <cp:revision>13</cp:revision>
</cp:coreProperties>
</file>