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C0392B"/>
          <w:spacing w:val="40"/>
          <w:sz w:val="20"/>
          <w:szCs w:val="20"/>
        </w:rPr>
        <w:t xml:space="preserve">CONFIDENTIAL</w:t>
      </w:r>
    </w:p>
    <w:p>
      <w:pPr>
        <w:spacing w:after="60" w:before="240"/>
        <w:jc w:val="center"/>
      </w:pPr>
      <w:r>
        <w:rPr>
          <w:b/>
          <w:bCs/>
          <w:color w:val="1F3A5F"/>
          <w:sz w:val="56"/>
          <w:szCs w:val="56"/>
        </w:rPr>
        <w:t xml:space="preserve">CARE ERP</w:t>
      </w:r>
    </w:p>
    <w:p>
      <w:pPr>
        <w:spacing w:after="40"/>
        <w:jc w:val="center"/>
      </w:pPr>
      <w:r>
        <w:rPr>
          <w:color w:val="2C5282"/>
          <w:sz w:val="32"/>
          <w:szCs w:val="32"/>
        </w:rPr>
        <w:t xml:space="preserve">Accounting &amp; Financial-Controls Systems Review</w:t>
      </w:r>
    </w:p>
    <w:p>
      <w:pPr>
        <w:spacing w:after="300"/>
        <w:jc w:val="center"/>
      </w:pPr>
      <w:r>
        <w:rPr>
          <w:i/>
          <w:iCs/>
          <w:color w:val="4A5568"/>
          <w:sz w:val="26"/>
          <w:szCs w:val="26"/>
        </w:rPr>
        <w:t xml:space="preserve">Handover Note for the Chartered Accountant</w:t>
      </w:r>
    </w:p>
    <w:p>
      <w:pPr>
        <w:pBdr>
          <w:top w:val="single" w:color="1F3A5F" w:sz="6"/>
          <w:bottom w:val="single" w:color="1F3A5F" w:sz="6"/>
        </w:pBdr>
        <w:spacing w:after="120" w:before="120"/>
        <w:jc w:val="center"/>
      </w:pPr>
      <w:r>
        <w:rPr>
          <w:b/>
          <w:bCs/>
          <w:color w:val="1A202C"/>
          <w:sz w:val="22"/>
          <w:szCs w:val="22"/>
        </w:rPr>
        <w:t xml:space="preserve">Care Diagnostics  ·  Hope Neurotrauma &amp; Multispeciality Hospital</w:t>
      </w:r>
    </w:p>
    <w:p>
      <w:pPr>
        <w:spacing w:before="500"/>
      </w:pP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32"/>
        <w:gridCol w:w="68"/>
      </w:tblGrid>
      <w:tr>
        <w:tc>
          <w:tcPr>
            <w:tcW w:type="pct" w:w="32%"/>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Prepared for</w:t>
            </w:r>
          </w:p>
        </w:tc>
        <w:tc>
          <w:tcPr>
            <w:tcW w:type="pct" w:w="68%"/>
            <w:tcMar>
              <w:top w:type="dxa" w:w="60"/>
              <w:left w:type="dxa" w:w="90"/>
              <w:bottom w:type="dxa" w:w="60"/>
              <w:right w:type="dxa" w:w="90"/>
            </w:tcMar>
            <w:vAlign w:val="center"/>
          </w:tcPr>
          <w:p>
            <w:pPr>
              <w:spacing w:after="20"/>
              <w:jc w:val="left"/>
            </w:pPr>
            <w:r>
              <w:rPr>
                <w:color w:val="1A202C"/>
                <w:sz w:val="18"/>
                <w:szCs w:val="18"/>
              </w:rPr>
              <w:t xml:space="preserve">The organisation's Chartered Accountant / statutory auditor</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Subject</w:t>
            </w:r>
          </w:p>
        </w:tc>
        <w:tc>
          <w:tcPr>
            <w:tcMar>
              <w:top w:type="dxa" w:w="60"/>
              <w:left w:type="dxa" w:w="90"/>
              <w:bottom w:type="dxa" w:w="60"/>
              <w:right w:type="dxa" w:w="90"/>
            </w:tcMar>
            <w:vAlign w:val="center"/>
          </w:tcPr>
          <w:p>
            <w:pPr>
              <w:spacing w:after="20"/>
              <w:jc w:val="left"/>
            </w:pPr>
            <w:r>
              <w:rPr>
                <w:color w:val="1A202C"/>
                <w:sz w:val="18"/>
                <w:szCs w:val="18"/>
              </w:rPr>
              <w:t xml:space="preserve">Financial correctness, auditability and GST-readiness of the CARE ERP billing &amp; accounting system</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Nature</w:t>
            </w:r>
          </w:p>
        </w:tc>
        <w:tc>
          <w:tcPr>
            <w:tcMar>
              <w:top w:type="dxa" w:w="60"/>
              <w:left w:type="dxa" w:w="90"/>
              <w:bottom w:type="dxa" w:w="60"/>
              <w:right w:type="dxa" w:w="90"/>
            </w:tcMar>
            <w:vAlign w:val="center"/>
          </w:tcPr>
          <w:p>
            <w:pPr>
              <w:spacing w:after="20"/>
              <w:jc w:val="left"/>
            </w:pPr>
            <w:r>
              <w:rPr>
                <w:color w:val="1A202C"/>
                <w:sz w:val="18"/>
                <w:szCs w:val="18"/>
              </w:rPr>
              <w:t xml:space="preserve">Systems / source-code review (not a statutory or financial audit)</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Date</w:t>
            </w:r>
          </w:p>
        </w:tc>
        <w:tc>
          <w:tcPr>
            <w:tcMar>
              <w:top w:type="dxa" w:w="60"/>
              <w:left w:type="dxa" w:w="90"/>
              <w:bottom w:type="dxa" w:w="60"/>
              <w:right w:type="dxa" w:w="90"/>
            </w:tcMar>
            <w:vAlign w:val="center"/>
          </w:tcPr>
          <w:p>
            <w:pPr>
              <w:spacing w:after="20"/>
              <w:jc w:val="left"/>
            </w:pPr>
            <w:r>
              <w:rPr>
                <w:color w:val="1A202C"/>
                <w:sz w:val="18"/>
                <w:szCs w:val="18"/>
              </w:rPr>
              <w:t xml:space="preserve">17 July 2026</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Findings</w:t>
            </w:r>
          </w:p>
        </w:tc>
        <w:tc>
          <w:tcPr>
            <w:tcMar>
              <w:top w:type="dxa" w:w="60"/>
              <w:left w:type="dxa" w:w="90"/>
              <w:bottom w:type="dxa" w:w="60"/>
              <w:right w:type="dxa" w:w="90"/>
            </w:tcMar>
            <w:vAlign w:val="center"/>
          </w:tcPr>
          <w:p>
            <w:pPr>
              <w:spacing w:after="20"/>
              <w:jc w:val="left"/>
            </w:pPr>
            <w:r>
              <w:rPr>
                <w:color w:val="1A202C"/>
                <w:sz w:val="18"/>
                <w:szCs w:val="18"/>
              </w:rPr>
              <w:t xml:space="preserve">62 total — 5 Critical (P0), 16 High (P1), 28 Medium (P2), 13 Low (P3)</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Status</w:t>
            </w:r>
          </w:p>
        </w:tc>
        <w:tc>
          <w:tcPr>
            <w:tcMar>
              <w:top w:type="dxa" w:w="60"/>
              <w:left w:type="dxa" w:w="90"/>
              <w:bottom w:type="dxa" w:w="60"/>
              <w:right w:type="dxa" w:w="90"/>
            </w:tcMar>
            <w:vAlign w:val="center"/>
          </w:tcPr>
          <w:p>
            <w:pPr>
              <w:spacing w:after="20"/>
              <w:jc w:val="left"/>
            </w:pPr>
            <w:r>
              <w:rPr>
                <w:color w:val="1A202C"/>
                <w:sz w:val="18"/>
                <w:szCs w:val="18"/>
              </w:rPr>
              <w:t xml:space="preserve">No production system or data was altered. Production data NOT yet examined (see §2 and §7).</w:t>
            </w:r>
          </w:p>
        </w:tc>
      </w:tr>
    </w:tbl>
    <w:p>
      <w:r>
        <w:br w:type="page"/>
      </w:r>
    </w:p>
    <w:p>
      <w:pPr>
        <w:pStyle w:val="Heading1"/>
      </w:pPr>
      <w:r>
        <w:t xml:space="preserve">1.  Purpose of this note</w:t>
      </w:r>
    </w:p>
    <w:p>
      <w:pPr>
        <w:spacing w:after="140" w:line="276"/>
        <w:jc w:val="both"/>
      </w:pPr>
      <w:r>
        <w:t xml:space="preserve">This note hands over the results of an independent review of the accounting, billing, payment, cash, GST and reconciliation functions inside the CARE ERP software used by Care Diagnostics and Hope Neurotrauma &amp; Multispeciality Hospital. It is written for you, our Chartered Accountant, in plain financial language rather than technical terms.</w:t>
      </w:r>
    </w:p>
    <w:p>
      <w:pPr>
        <w:spacing w:after="140" w:line="276"/>
        <w:jc w:val="both"/>
      </w:pPr>
      <w:r>
        <w:t xml:space="preserve">It is intended to help you decide three things:</w:t>
      </w:r>
    </w:p>
    <w:p>
      <w:pPr>
        <w:pStyle w:val="ListParagraph"/>
        <w:numPr>
          <w:ilvl w:val="0"/>
          <w:numId w:val="1"/>
        </w:numPr>
        <w:spacing w:after="90" w:line="268"/>
        <w:jc w:val="left"/>
      </w:pPr>
      <w:r>
        <w:rPr>
          <w:b/>
          <w:bCs/>
        </w:rPr>
        <w:t xml:space="preserve">Reliance</w:t>
      </w:r>
      <w:r>
        <w:t xml:space="preserve"> — to what extent the figures the system produces (daily collection, revenue, GST, P&amp;L) can be relied upon for the books of account and statutory filings.</w:t>
      </w:r>
    </w:p>
    <w:p>
      <w:pPr>
        <w:pStyle w:val="ListParagraph"/>
        <w:numPr>
          <w:ilvl w:val="0"/>
          <w:numId w:val="1"/>
        </w:numPr>
        <w:spacing w:after="90" w:line="268"/>
        <w:jc w:val="left"/>
      </w:pPr>
      <w:r>
        <w:rPr>
          <w:b/>
          <w:bCs/>
        </w:rPr>
        <w:t xml:space="preserve">Controls</w:t>
      </w:r>
      <w:r>
        <w:t xml:space="preserve"> — where the internal financial controls (segregation of duties, approvals, audit trail, cash reconciliation) are adequate and where they are not.</w:t>
      </w:r>
    </w:p>
    <w:p>
      <w:pPr>
        <w:pStyle w:val="ListParagraph"/>
        <w:numPr>
          <w:ilvl w:val="0"/>
          <w:numId w:val="1"/>
        </w:numPr>
        <w:spacing w:after="90" w:line="268"/>
        <w:jc w:val="left"/>
      </w:pPr>
      <w:r>
        <w:rPr>
          <w:b/>
          <w:bCs/>
        </w:rPr>
        <w:t xml:space="preserve">Action</w:t>
      </w:r>
      <w:r>
        <w:t xml:space="preserve"> — which corrections should be made before the next period close, and which matters require your professional determination (particularly GST).</w:t>
      </w:r>
    </w:p>
    <w:p>
      <w:pPr>
        <w:spacing w:after="140" w:line="276"/>
        <w:jc w:val="both"/>
      </w:pPr>
      <w:r>
        <w:t xml:space="preserve">A companion technical report, a colour illustrated summary (PDF), and a read-only data-checking script accompany this note; see §9 and the appendices.</w:t>
      </w:r>
    </w:p>
    <w:p>
      <w:pPr>
        <w:pStyle w:val="Heading1"/>
      </w:pPr>
      <w:r>
        <w:t xml:space="preserve">2.  Scope, basis and limitations</w:t>
      </w:r>
    </w:p>
    <w:p>
      <w:pPr>
        <w:spacing w:after="140" w:line="276"/>
        <w:jc w:val="both"/>
      </w:pPr>
      <w:r>
        <w:rPr>
          <w:b/>
          <w:bCs/>
        </w:rPr>
        <w:t xml:space="preserve">What was done. </w:t>
      </w:r>
      <w:r>
        <w:t xml:space="preserve">The review traced the actual implemented behaviour of the system through its source code and database design — the billing screens, payment routes, background posting logic, reports, exports and print templates. Every finding is anchored to specific code as evidence. The five most serious items were independently re-verified line-by-line.</w:t>
      </w:r>
    </w:p>
    <w:p>
      <w:pPr>
        <w:spacing w:after="140" w:line="276"/>
        <w:jc w:val="both"/>
      </w:pPr>
      <w:r>
        <w:rPr>
          <w:b/>
          <w:bCs/>
        </w:rPr>
        <w:t xml:space="preserve">What this is not. </w:t>
      </w:r>
      <w:r>
        <w:t xml:space="preserve">This is a systems and internal-controls review. It is not a statutory audit, not a financial audit, and not a certification of the books, GST returns or any statutory position. It does not express an opinion on the financial statements.</w:t>
      </w:r>
    </w:p>
    <w:p>
      <w:pPr>
        <w:spacing w:after="140" w:line="276"/>
        <w:jc w:val="both"/>
      </w:pPr>
      <w:r>
        <w:rPr>
          <w:b/>
          <w:bCs/>
        </w:rPr>
        <w:t xml:space="preserve">Data not examined. </w:t>
      </w:r>
      <w:r>
        <w:t xml:space="preserve">No production database was made available for this review. The accompanying data-checking script was executed only against an empty, structure-only copy of the database to confirm that the queries run without error; it was </w:t>
      </w:r>
      <w:r>
        <w:rPr>
          <w:b/>
          <w:bCs/>
          <w:i/>
          <w:iCs/>
        </w:rPr>
        <w:t xml:space="preserve">not</w:t>
      </w:r>
      <w:r>
        <w:t xml:space="preserve"> run against live data. Whether the real records actually contain the anomalies the system permits therefore remains </w:t>
      </w:r>
      <w:r>
        <w:rPr>
          <w:b/>
          <w:bCs/>
        </w:rPr>
        <w:t xml:space="preserve">unverified</w:t>
      </w:r>
      <w:r>
        <w:t xml:space="preserve"> — running that script against a copy of production is the recommended first step (see §7).</w:t>
      </w:r>
    </w:p>
    <w:p>
      <w:pPr>
        <w:spacing w:after="140" w:line="276"/>
        <w:jc w:val="both"/>
      </w:pPr>
      <w:r>
        <w:rPr>
          <w:b/>
          <w:bCs/>
        </w:rPr>
        <w:t xml:space="preserve">GST and statutory items require your validation. </w:t>
      </w:r>
      <w:r>
        <w:t xml:space="preserve">Several findings touch on GST treatment, invoice format, credit notes and audit-trail obligations. These are flagged as “requires CA validation” and are raised for your professional determination — nothing in this note should be read as tax or legal advice.</w:t>
      </w:r>
    </w:p>
    <w:p>
      <w:pPr>
        <w:pStyle w:val="Heading1"/>
      </w:pPr>
      <w:r>
        <w:t xml:space="preserve">3.  Executive conclusion</w:t>
      </w:r>
    </w:p>
    <w:p>
      <w:pPr>
        <w:spacing w:after="140" w:line="276"/>
        <w:jc w:val="both"/>
      </w:pPr>
      <w:r>
        <w:rPr>
          <w:b/>
          <w:bCs/>
        </w:rPr>
        <w:t xml:space="preserve">In one line: </w:t>
      </w:r>
      <w:r>
        <w:t xml:space="preserve">CARE ERP is a capable billing-and-collection system, but it is not a complete accounting system, and in its current state its financial outputs should not be relied upon as audited books without the corrections set out below.</w:t>
      </w:r>
    </w:p>
    <w:p>
      <w:pPr>
        <w:pStyle w:val="Heading3"/>
      </w:pPr>
      <w:r>
        <w:t xml:space="preserve">Classification</w:t>
      </w:r>
    </w:p>
    <w:p>
      <w:pPr>
        <w:spacing w:after="140" w:line="276"/>
        <w:jc w:val="both"/>
      </w:pPr>
      <w:r>
        <w:t xml:space="preserve">The system records bills, collects money, and tracks receipts and refunds competently. On top of this sits a lightweight “voucher” ledger. However:</w:t>
      </w:r>
    </w:p>
    <w:p>
      <w:pPr>
        <w:pStyle w:val="ListParagraph"/>
        <w:numPr>
          <w:ilvl w:val="0"/>
          <w:numId w:val="1"/>
        </w:numPr>
        <w:spacing w:after="90" w:line="268"/>
        <w:jc w:val="left"/>
      </w:pPr>
      <w:r>
        <w:t xml:space="preserve">The ledger is a single-row voucher (one debit account, one credit account, one amount per entry). It cannot represent a split journal — for example revenue plus CGST plus SGST as separate lines — so it is not a genuine double-entry general ledger.</w:t>
      </w:r>
    </w:p>
    <w:p>
      <w:pPr>
        <w:pStyle w:val="ListParagraph"/>
        <w:numPr>
          <w:ilvl w:val="0"/>
          <w:numId w:val="1"/>
        </w:numPr>
        <w:spacing w:after="90" w:line="268"/>
        <w:jc w:val="left"/>
      </w:pPr>
      <w:r>
        <w:t xml:space="preserve">Voucher postings are “best-effort”: if a posting fails it is logged but billing continues, so the ledger can silently drift away from the bills and receipts.</w:t>
      </w:r>
    </w:p>
    <w:p>
      <w:pPr>
        <w:pStyle w:val="ListParagraph"/>
        <w:numPr>
          <w:ilvl w:val="0"/>
          <w:numId w:val="1"/>
        </w:numPr>
        <w:spacing w:after="90" w:line="268"/>
        <w:jc w:val="left"/>
      </w:pPr>
      <w:r>
        <w:t xml:space="preserve">Revenue is recognised when money is received (cash basis), not when the service is billed.</w:t>
      </w:r>
    </w:p>
    <w:p>
      <w:pPr>
        <w:pStyle w:val="ListParagraph"/>
        <w:numPr>
          <w:ilvl w:val="0"/>
          <w:numId w:val="1"/>
        </w:numPr>
        <w:spacing w:after="90" w:line="268"/>
        <w:jc w:val="left"/>
      </w:pPr>
      <w:r>
        <w:t xml:space="preserve">The “Trial Balance” and “Profit &amp; Loss” screens are reconstructed on demand from live, editable operational tables — they are not read from a posted, locked ledger, and a “balanced” indicator is close to automatic rather than meaningful.</w:t>
      </w:r>
    </w:p>
    <w:p>
      <w:pPr>
        <w:spacing w:after="140" w:line="276"/>
        <w:jc w:val="both"/>
      </w:pPr>
      <w:r>
        <w:rPr>
          <w:b/>
          <w:bCs/>
        </w:rPr>
        <w:t xml:space="preserve">Practical meaning for you: </w:t>
      </w:r>
      <w:r>
        <w:t xml:space="preserve">treat the system's numbers as operational collection data to be independently reconciled, not as final books. The corrections in §6 and §8 are what would move it toward reliable books over time.</w:t>
      </w:r>
    </w:p>
    <w:p>
      <w:pPr>
        <w:pStyle w:val="Heading1"/>
      </w:pPr>
      <w:r>
        <w:t xml:space="preserve">4.  What this means for you as our CA</w:t>
      </w:r>
    </w:p>
    <w:p>
      <w:pPr>
        <w:spacing w:after="140" w:line="276"/>
        <w:jc w:val="both"/>
      </w:pPr>
      <w:r>
        <w:t xml:space="preserve">The following characteristics are the ones most likely to affect your reliance on the system and your statutory work. Each is expanded, with evidence, in §6.</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34"/>
        <w:gridCol w:w="66"/>
      </w:tblGrid>
      <w:tr>
        <w:tc>
          <w:tcPr>
            <w:tcW w:type="pct" w:w="34%"/>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Matter</w:t>
            </w:r>
          </w:p>
        </w:tc>
        <w:tc>
          <w:tcPr>
            <w:tcW w:type="pct" w:w="66%"/>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Why it matters to you</w:t>
            </w:r>
          </w:p>
        </w:tc>
      </w:tr>
      <w:tr>
        <w:tc>
          <w:tcPr>
            <w:tcMar>
              <w:top w:type="dxa" w:w="60"/>
              <w:left w:type="dxa" w:w="90"/>
              <w:bottom w:type="dxa" w:w="60"/>
              <w:right w:type="dxa" w:w="90"/>
            </w:tcMar>
            <w:vAlign w:val="center"/>
          </w:tcPr>
          <w:p>
            <w:pPr>
              <w:spacing w:after="20"/>
              <w:jc w:val="left"/>
            </w:pPr>
            <w:r>
              <w:rPr>
                <w:b/>
                <w:bCs/>
                <w:color w:val="1A202C"/>
                <w:sz w:val="18"/>
                <w:szCs w:val="18"/>
              </w:rPr>
              <w:t xml:space="preserve">Reports change retroactively</w:t>
            </w:r>
          </w:p>
        </w:tc>
        <w:tc>
          <w:tcPr>
            <w:tcMar>
              <w:top w:type="dxa" w:w="60"/>
              <w:left w:type="dxa" w:w="90"/>
              <w:bottom w:type="dxa" w:w="60"/>
              <w:right w:type="dxa" w:w="90"/>
            </w:tcMar>
            <w:vAlign w:val="center"/>
          </w:tcPr>
          <w:p>
            <w:pPr>
              <w:spacing w:after="20"/>
              <w:jc w:val="left"/>
            </w:pPr>
            <w:r>
              <w:rPr>
                <w:color w:val="1A202C"/>
                <w:sz w:val="18"/>
                <w:szCs w:val="18"/>
              </w:rPr>
              <w:t xml:space="preserve">Historical daily/period figures are recomputed from editable data, and finalised bills can be edited or deleted. A number you saw last month can differ today. Reconcile to dated, exported snapshots.</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Cash basis, no posted ledger</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Revenue is recognised on receipt and there is no locked general ledger; period figures cannot be “frozen” by the system today.</w:t>
            </w:r>
          </w:p>
        </w:tc>
      </w:tr>
      <w:tr>
        <w:tc>
          <w:tcPr>
            <w:tcMar>
              <w:top w:type="dxa" w:w="60"/>
              <w:left w:type="dxa" w:w="90"/>
              <w:bottom w:type="dxa" w:w="60"/>
              <w:right w:type="dxa" w:w="90"/>
            </w:tcMar>
            <w:vAlign w:val="center"/>
          </w:tcPr>
          <w:p>
            <w:pPr>
              <w:spacing w:after="20"/>
              <w:jc w:val="left"/>
            </w:pPr>
            <w:r>
              <w:rPr>
                <w:b/>
                <w:bCs/>
                <w:color w:val="1A202C"/>
                <w:sz w:val="18"/>
                <w:szCs w:val="18"/>
              </w:rPr>
              <w:t xml:space="preserve">GST effectively not computed</w:t>
            </w:r>
          </w:p>
        </w:tc>
        <w:tc>
          <w:tcPr>
            <w:tcMar>
              <w:top w:type="dxa" w:w="60"/>
              <w:left w:type="dxa" w:w="90"/>
              <w:bottom w:type="dxa" w:w="60"/>
              <w:right w:type="dxa" w:w="90"/>
            </w:tcMar>
            <w:vAlign w:val="center"/>
          </w:tcPr>
          <w:p>
            <w:pPr>
              <w:spacing w:after="20"/>
              <w:jc w:val="left"/>
            </w:pPr>
            <w:r>
              <w:rPr>
                <w:color w:val="1A202C"/>
                <w:sz w:val="18"/>
                <w:szCs w:val="18"/>
              </w:rPr>
              <w:t xml:space="preserve">Tax is fixed at zero on every bill and there is no HSN/SAC, tax split, or credit-note document. The correct GST treatment (including the healthcare exemption) needs your determination.</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Invoice-number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Deleting a bill renumbers later invoices of the month, breaking the immutability and continuity of the invoice series — directly relevant to invoice-numbering compliance.</w:t>
            </w:r>
          </w:p>
        </w:tc>
      </w:tr>
      <w:tr>
        <w:tc>
          <w:tcPr>
            <w:tcMar>
              <w:top w:type="dxa" w:w="60"/>
              <w:left w:type="dxa" w:w="90"/>
              <w:bottom w:type="dxa" w:w="60"/>
              <w:right w:type="dxa" w:w="90"/>
            </w:tcMar>
            <w:vAlign w:val="center"/>
          </w:tcPr>
          <w:p>
            <w:pPr>
              <w:spacing w:after="20"/>
              <w:jc w:val="left"/>
            </w:pPr>
            <w:r>
              <w:rPr>
                <w:b/>
                <w:bCs/>
                <w:color w:val="1A202C"/>
                <w:sz w:val="18"/>
                <w:szCs w:val="18"/>
              </w:rPr>
              <w:t xml:space="preserve">Audit-trail integrity</w:t>
            </w:r>
          </w:p>
        </w:tc>
        <w:tc>
          <w:tcPr>
            <w:tcMar>
              <w:top w:type="dxa" w:w="60"/>
              <w:left w:type="dxa" w:w="90"/>
              <w:bottom w:type="dxa" w:w="60"/>
              <w:right w:type="dxa" w:w="90"/>
            </w:tcMar>
            <w:vAlign w:val="center"/>
          </w:tcPr>
          <w:p>
            <w:pPr>
              <w:spacing w:after="20"/>
              <w:jc w:val="left"/>
            </w:pPr>
            <w:r>
              <w:rPr>
                <w:color w:val="1A202C"/>
                <w:sz w:val="18"/>
                <w:szCs w:val="18"/>
              </w:rPr>
              <w:t xml:space="preserve">Core money changes are logged only to an editable/deletable table, and vouchers can be hard-deleted. This is relevant to the requirement for an un-disablable edit-log/audit trail in accounting software — please assess applicability.</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Cash reconciliation defect</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per-cashier daily cash close subtracts cash expenses twice, so drawer variances are wrong by the expense amount.</w:t>
            </w:r>
          </w:p>
        </w:tc>
      </w:tr>
    </w:tbl>
    <w:p>
      <w:pPr>
        <w:pStyle w:val="Heading1"/>
      </w:pPr>
      <w:r>
        <w:t xml:space="preserve">5.  Findings at a glance</w:t>
      </w:r>
    </w:p>
    <w:p>
      <w:pPr>
        <w:spacing w:after="140" w:line="276"/>
        <w:jc w:val="both"/>
      </w:pPr>
      <w:r>
        <w:t xml:space="preserve">Findings are graded by financial risk. The counts below are the reconciled, corrected figures.</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14"/>
        <w:gridCol w:w="62"/>
        <w:gridCol w:w="24"/>
      </w:tblGrid>
      <w:tr>
        <w:tc>
          <w:tcPr>
            <w:tcW w:type="pct" w:w="14%"/>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Grade</w:t>
            </w:r>
          </w:p>
        </w:tc>
        <w:tc>
          <w:tcPr>
            <w:tcW w:type="pct" w:w="62%"/>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Meaning</w:t>
            </w:r>
          </w:p>
        </w:tc>
        <w:tc>
          <w:tcPr>
            <w:tcW w:type="pct" w:w="24%"/>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Count</w:t>
            </w:r>
          </w:p>
        </w:tc>
      </w:tr>
      <w:tr>
        <w:tc>
          <w:tcPr>
            <w:tcMar>
              <w:top w:type="dxa" w:w="60"/>
              <w:left w:type="dxa" w:w="90"/>
              <w:bottom w:type="dxa" w:w="60"/>
              <w:right w:type="dxa" w:w="90"/>
            </w:tcMar>
            <w:vAlign w:val="center"/>
          </w:tcPr>
          <w:p>
            <w:pPr>
              <w:spacing w:after="20"/>
              <w:jc w:val="left"/>
            </w:pPr>
            <w:r>
              <w:rPr>
                <w:b/>
                <w:bCs/>
                <w:color w:val="C0392B"/>
                <w:sz w:val="18"/>
                <w:szCs w:val="18"/>
              </w:rPr>
              <w:t xml:space="preserve">P0</w:t>
            </w:r>
          </w:p>
        </w:tc>
        <w:tc>
          <w:tcPr>
            <w:tcMar>
              <w:top w:type="dxa" w:w="60"/>
              <w:left w:type="dxa" w:w="90"/>
              <w:bottom w:type="dxa" w:w="60"/>
              <w:right w:type="dxa" w:w="90"/>
            </w:tcMar>
            <w:vAlign w:val="center"/>
          </w:tcPr>
          <w:p>
            <w:pPr>
              <w:spacing w:after="20"/>
              <w:jc w:val="left"/>
            </w:pPr>
            <w:r>
              <w:rPr>
                <w:color w:val="1A202C"/>
                <w:sz w:val="18"/>
                <w:szCs w:val="18"/>
              </w:rPr>
              <w:t xml:space="preserve">Critical — financial records can be destroyed or corrupted, or money can move without a reliable trail</w:t>
            </w:r>
          </w:p>
        </w:tc>
        <w:tc>
          <w:tcPr>
            <w:tcMar>
              <w:top w:type="dxa" w:w="60"/>
              <w:left w:type="dxa" w:w="90"/>
              <w:bottom w:type="dxa" w:w="60"/>
              <w:right w:type="dxa" w:w="90"/>
            </w:tcMar>
            <w:vAlign w:val="center"/>
          </w:tcPr>
          <w:p>
            <w:pPr>
              <w:spacing w:after="20"/>
              <w:jc w:val="center"/>
            </w:pPr>
            <w:r>
              <w:rPr>
                <w:b/>
                <w:bCs/>
                <w:color w:val="1A202C"/>
                <w:sz w:val="18"/>
                <w:szCs w:val="18"/>
              </w:rPr>
              <w:t xml:space="preserve">5</w:t>
            </w:r>
          </w:p>
        </w:tc>
      </w:tr>
      <w:tr>
        <w:tc>
          <w:tcPr>
            <w:tcMar>
              <w:top w:type="dxa" w:w="60"/>
              <w:left w:type="dxa" w:w="90"/>
              <w:bottom w:type="dxa" w:w="60"/>
              <w:right w:type="dxa" w:w="90"/>
            </w:tcMar>
            <w:vAlign w:val="center"/>
          </w:tcPr>
          <w:p>
            <w:pPr>
              <w:spacing w:after="20"/>
              <w:jc w:val="left"/>
            </w:pPr>
            <w:r>
              <w:rPr>
                <w:b/>
                <w:bCs/>
                <w:color w:val="D35400"/>
                <w:sz w:val="18"/>
                <w:szCs w:val="18"/>
              </w:rPr>
              <w:t xml:space="preserve">P1</w:t>
            </w:r>
          </w:p>
        </w:tc>
        <w:tc>
          <w:tcPr>
            <w:tcMar>
              <w:top w:type="dxa" w:w="60"/>
              <w:left w:type="dxa" w:w="90"/>
              <w:bottom w:type="dxa" w:w="60"/>
              <w:right w:type="dxa" w:w="90"/>
            </w:tcMar>
            <w:vAlign w:val="center"/>
          </w:tcPr>
          <w:p>
            <w:pPr>
              <w:spacing w:after="20"/>
              <w:jc w:val="left"/>
            </w:pPr>
            <w:r>
              <w:rPr>
                <w:color w:val="1A202C"/>
                <w:sz w:val="18"/>
                <w:szCs w:val="18"/>
              </w:rPr>
              <w:t xml:space="preserve">High — missing atomicity, idempotency, immutability or approval controls; unreliable figures</w:t>
            </w:r>
          </w:p>
        </w:tc>
        <w:tc>
          <w:tcPr>
            <w:tcMar>
              <w:top w:type="dxa" w:w="60"/>
              <w:left w:type="dxa" w:w="90"/>
              <w:bottom w:type="dxa" w:w="60"/>
              <w:right w:type="dxa" w:w="90"/>
            </w:tcMar>
            <w:vAlign w:val="center"/>
          </w:tcPr>
          <w:p>
            <w:pPr>
              <w:spacing w:after="20"/>
              <w:jc w:val="center"/>
            </w:pPr>
            <w:r>
              <w:rPr>
                <w:b/>
                <w:bCs/>
                <w:color w:val="1A202C"/>
                <w:sz w:val="18"/>
                <w:szCs w:val="18"/>
              </w:rPr>
              <w:t xml:space="preserve">16</w:t>
            </w:r>
          </w:p>
        </w:tc>
      </w:tr>
      <w:tr>
        <w:tc>
          <w:tcPr>
            <w:tcMar>
              <w:top w:type="dxa" w:w="60"/>
              <w:left w:type="dxa" w:w="90"/>
              <w:bottom w:type="dxa" w:w="60"/>
              <w:right w:type="dxa" w:w="90"/>
            </w:tcMar>
            <w:vAlign w:val="center"/>
          </w:tcPr>
          <w:p>
            <w:pPr>
              <w:spacing w:after="20"/>
              <w:jc w:val="left"/>
            </w:pPr>
            <w:r>
              <w:rPr>
                <w:b/>
                <w:bCs/>
                <w:color w:val="2471A3"/>
                <w:sz w:val="18"/>
                <w:szCs w:val="18"/>
              </w:rPr>
              <w:t xml:space="preserve">P2</w:t>
            </w:r>
          </w:p>
        </w:tc>
        <w:tc>
          <w:tcPr>
            <w:tcMar>
              <w:top w:type="dxa" w:w="60"/>
              <w:left w:type="dxa" w:w="90"/>
              <w:bottom w:type="dxa" w:w="60"/>
              <w:right w:type="dxa" w:w="90"/>
            </w:tcMar>
            <w:vAlign w:val="center"/>
          </w:tcPr>
          <w:p>
            <w:pPr>
              <w:spacing w:after="20"/>
              <w:jc w:val="left"/>
            </w:pPr>
            <w:r>
              <w:rPr>
                <w:color w:val="1A202C"/>
                <w:sz w:val="18"/>
                <w:szCs w:val="18"/>
              </w:rPr>
              <w:t xml:space="preserve">Medium — weak validation, date/timezone inconsistencies, reconciliation gaps</w:t>
            </w:r>
          </w:p>
        </w:tc>
        <w:tc>
          <w:tcPr>
            <w:tcMar>
              <w:top w:type="dxa" w:w="60"/>
              <w:left w:type="dxa" w:w="90"/>
              <w:bottom w:type="dxa" w:w="60"/>
              <w:right w:type="dxa" w:w="90"/>
            </w:tcMar>
            <w:vAlign w:val="center"/>
          </w:tcPr>
          <w:p>
            <w:pPr>
              <w:spacing w:after="20"/>
              <w:jc w:val="center"/>
            </w:pPr>
            <w:r>
              <w:rPr>
                <w:b/>
                <w:bCs/>
                <w:color w:val="1A202C"/>
                <w:sz w:val="18"/>
                <w:szCs w:val="18"/>
              </w:rPr>
              <w:t xml:space="preserve">28</w:t>
            </w:r>
          </w:p>
        </w:tc>
      </w:tr>
      <w:tr>
        <w:tc>
          <w:tcPr>
            <w:tcMar>
              <w:top w:type="dxa" w:w="60"/>
              <w:left w:type="dxa" w:w="90"/>
              <w:bottom w:type="dxa" w:w="60"/>
              <w:right w:type="dxa" w:w="90"/>
            </w:tcMar>
            <w:vAlign w:val="center"/>
          </w:tcPr>
          <w:p>
            <w:pPr>
              <w:spacing w:after="20"/>
              <w:jc w:val="left"/>
            </w:pPr>
            <w:r>
              <w:rPr>
                <w:b/>
                <w:bCs/>
                <w:color w:val="566573"/>
                <w:sz w:val="18"/>
                <w:szCs w:val="18"/>
              </w:rPr>
              <w:t xml:space="preserve">P3</w:t>
            </w:r>
          </w:p>
        </w:tc>
        <w:tc>
          <w:tcPr>
            <w:tcMar>
              <w:top w:type="dxa" w:w="60"/>
              <w:left w:type="dxa" w:w="90"/>
              <w:bottom w:type="dxa" w:w="60"/>
              <w:right w:type="dxa" w:w="90"/>
            </w:tcMar>
            <w:vAlign w:val="center"/>
          </w:tcPr>
          <w:p>
            <w:pPr>
              <w:spacing w:after="20"/>
              <w:jc w:val="left"/>
            </w:pPr>
            <w:r>
              <w:rPr>
                <w:color w:val="1A202C"/>
                <w:sz w:val="18"/>
                <w:szCs w:val="18"/>
              </w:rPr>
              <w:t xml:space="preserve">Low — naming, minor inconsistencies, maintainability</w:t>
            </w:r>
          </w:p>
        </w:tc>
        <w:tc>
          <w:tcPr>
            <w:tcMar>
              <w:top w:type="dxa" w:w="60"/>
              <w:left w:type="dxa" w:w="90"/>
              <w:bottom w:type="dxa" w:w="60"/>
              <w:right w:type="dxa" w:w="90"/>
            </w:tcMar>
            <w:vAlign w:val="center"/>
          </w:tcPr>
          <w:p>
            <w:pPr>
              <w:spacing w:after="20"/>
              <w:jc w:val="center"/>
            </w:pPr>
            <w:r>
              <w:rPr>
                <w:b/>
                <w:bCs/>
                <w:color w:val="1A202C"/>
                <w:sz w:val="18"/>
                <w:szCs w:val="18"/>
              </w:rPr>
              <w:t xml:space="preserve">13</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Total</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
            </w:r>
          </w:p>
        </w:tc>
        <w:tc>
          <w:tcPr>
            <w:shd w:fill="EEF2F7" w:color="auto" w:val="clear"/>
            <w:tcMar>
              <w:top w:type="dxa" w:w="60"/>
              <w:left w:type="dxa" w:w="90"/>
              <w:bottom w:type="dxa" w:w="60"/>
              <w:right w:type="dxa" w:w="90"/>
            </w:tcMar>
            <w:vAlign w:val="center"/>
          </w:tcPr>
          <w:p>
            <w:pPr>
              <w:spacing w:after="20"/>
              <w:jc w:val="center"/>
            </w:pPr>
            <w:r>
              <w:rPr>
                <w:b/>
                <w:bCs/>
                <w:color w:val="1A202C"/>
                <w:sz w:val="18"/>
                <w:szCs w:val="18"/>
              </w:rPr>
              <w:t xml:space="preserve">62</w:t>
            </w:r>
          </w:p>
        </w:tc>
      </w:tr>
    </w:tbl>
    <w:p>
      <w:pPr>
        <w:pStyle w:val="Heading3"/>
      </w:pPr>
      <w:r>
        <w:t xml:space="preserve">The five critical (P0) items</w:t>
      </w:r>
    </w:p>
    <w:p>
      <w:pPr>
        <w:pStyle w:val="ListParagraph"/>
        <w:numPr>
          <w:ilvl w:val="0"/>
          <w:numId w:val="1"/>
        </w:numPr>
        <w:spacing w:after="100"/>
      </w:pPr>
      <w:r>
        <w:rPr>
          <w:b/>
          <w:bCs/>
          <w:color w:val="C0392B"/>
          <w:sz w:val="20"/>
          <w:szCs w:val="20"/>
        </w:rPr>
        <w:t xml:space="preserve">GST-02  </w:t>
      </w:r>
      <w:r>
        <w:rPr>
          <w:color w:val="1A202C"/>
          <w:sz w:val="20"/>
          <w:szCs w:val="20"/>
        </w:rPr>
        <w:t xml:space="preserve">Deleting a bill hard-deletes its payment records and renumbers every later invoice of the month, so an already-issued invoice number is reassigned to a different bill.</w:t>
      </w:r>
    </w:p>
    <w:p>
      <w:pPr>
        <w:pStyle w:val="ListParagraph"/>
        <w:numPr>
          <w:ilvl w:val="0"/>
          <w:numId w:val="1"/>
        </w:numPr>
        <w:spacing w:after="100"/>
      </w:pPr>
      <w:r>
        <w:rPr>
          <w:b/>
          <w:bCs/>
          <w:color w:val="C0392B"/>
          <w:sz w:val="20"/>
          <w:szCs w:val="20"/>
        </w:rPr>
        <w:t xml:space="preserve">SEC-01  </w:t>
      </w:r>
      <w:r>
        <w:rPr>
          <w:color w:val="1A202C"/>
          <w:sz w:val="20"/>
          <w:szCs w:val="20"/>
        </w:rPr>
        <w:t xml:space="preserve">Core money changes (bill edits, cancellations, refunds) are logged only to an ordinary, editable/deletable table — not a tamper-evident trail.</w:t>
      </w:r>
    </w:p>
    <w:p>
      <w:pPr>
        <w:pStyle w:val="ListParagraph"/>
        <w:numPr>
          <w:ilvl w:val="0"/>
          <w:numId w:val="1"/>
        </w:numPr>
        <w:spacing w:after="100"/>
      </w:pPr>
      <w:r>
        <w:rPr>
          <w:b/>
          <w:bCs/>
          <w:color w:val="C0392B"/>
          <w:sz w:val="20"/>
          <w:szCs w:val="20"/>
        </w:rPr>
        <w:t xml:space="preserve">RPT-01  </w:t>
      </w:r>
      <w:r>
        <w:rPr>
          <w:color w:val="1A202C"/>
          <w:sz w:val="20"/>
          <w:szCs w:val="20"/>
        </w:rPr>
        <w:t xml:space="preserve">The per-cashier daily cash close subtracts cash expenses twice, so a drawer's expected cash is understated by the expense amount.</w:t>
      </w:r>
    </w:p>
    <w:p>
      <w:pPr>
        <w:pStyle w:val="ListParagraph"/>
        <w:numPr>
          <w:ilvl w:val="0"/>
          <w:numId w:val="1"/>
        </w:numPr>
        <w:spacing w:after="100"/>
      </w:pPr>
      <w:r>
        <w:rPr>
          <w:b/>
          <w:bCs/>
          <w:color w:val="C0392B"/>
          <w:sz w:val="20"/>
          <w:szCs w:val="20"/>
        </w:rPr>
        <w:t xml:space="preserve">DQ-01  </w:t>
      </w:r>
      <w:r>
        <w:rPr>
          <w:color w:val="1A202C"/>
          <w:sz w:val="20"/>
          <w:szCs w:val="20"/>
        </w:rPr>
        <w:t xml:space="preserve">The database enforces no value checks on money (no non-negative, no refund≤paid, no discount≤subtotal); such rows are only prevented by application code.</w:t>
      </w:r>
    </w:p>
    <w:p>
      <w:pPr>
        <w:pStyle w:val="ListParagraph"/>
        <w:numPr>
          <w:ilvl w:val="0"/>
          <w:numId w:val="1"/>
        </w:numPr>
        <w:spacing w:after="100"/>
      </w:pPr>
      <w:r>
        <w:rPr>
          <w:b/>
          <w:bCs/>
          <w:color w:val="C0392B"/>
          <w:sz w:val="20"/>
          <w:szCs w:val="20"/>
        </w:rPr>
        <w:t xml:space="preserve">DQ-02  </w:t>
      </w:r>
      <w:r>
        <w:rPr>
          <w:color w:val="1A202C"/>
          <w:sz w:val="20"/>
          <w:szCs w:val="20"/>
        </w:rPr>
        <w:t xml:space="preserve">A hand-written schema-reconcile script recreates the bills/payments/vouchers tables with no unique constraints and no foreign keys — permitting duplicate invoice numbers and orphan rows.</w:t>
      </w:r>
    </w:p>
    <w:p>
      <w:r>
        <w:br w:type="page"/>
      </w:r>
    </w:p>
    <w:p>
      <w:pPr>
        <w:pStyle w:val="Heading1"/>
      </w:pPr>
      <w:r>
        <w:t xml:space="preserve">6.  Detailed findings by area</w:t>
      </w:r>
    </w:p>
    <w:p>
      <w:pPr>
        <w:pStyle w:val="Heading2"/>
      </w:pPr>
      <w:r>
        <w:t xml:space="preserve">6.1  The accounting model and general ledger</w:t>
      </w:r>
    </w:p>
    <w:p>
      <w:pPr>
        <w:spacing w:after="140" w:line="276"/>
        <w:jc w:val="both"/>
      </w:pPr>
      <w:r>
        <w:t xml:space="preserve">This is the foundational matter: what kind of books the system keeps.</w:t>
      </w:r>
    </w:p>
    <w:p>
      <w:pPr>
        <w:spacing w:after="140" w:line="276"/>
        <w:jc w:val="both"/>
      </w:pPr>
      <w:r>
        <w:rPr>
          <w:b/>
          <w:bCs/>
          <w:color w:val="2C5282"/>
        </w:rPr>
        <w:t xml:space="preserve">Single-row voucher, not double-entry. </w:t>
      </w:r>
      <w:r>
        <w:t xml:space="preserve">Each ledger entry is one debit account, one credit account and one amount, so tax and discounts cannot be split onto their own lines. A true general ledger, journal lines, fiscal periods and period-locking do not exist. (DQ-08, and gap analysis document 10.)</w:t>
      </w:r>
    </w:p>
    <w:p>
      <w:pPr>
        <w:spacing w:after="140" w:line="276"/>
        <w:jc w:val="both"/>
      </w:pPr>
      <w:r>
        <w:rPr>
          <w:b/>
          <w:bCs/>
          <w:color w:val="2C5282"/>
        </w:rPr>
        <w:t xml:space="preserve">Best-effort posting. </w:t>
      </w:r>
      <w:r>
        <w:t xml:space="preserve">The routine that writes ledger vouchers from payments never blocks billing if it fails, and there is no reconciliation between payments and vouchers — so the ledger, and therefore the P&amp;L, can understate without anyone being alerted. (RPT-15.)</w:t>
      </w:r>
    </w:p>
    <w:p>
      <w:pPr>
        <w:spacing w:after="140" w:line="276"/>
        <w:jc w:val="both"/>
      </w:pPr>
      <w:r>
        <w:rPr>
          <w:b/>
          <w:bCs/>
          <w:color w:val="2C5282"/>
        </w:rPr>
        <w:t xml:space="preserve">Reconstructed statements. </w:t>
      </w:r>
      <w:r>
        <w:t xml:space="preserve">Trial balance and P&amp;L are rebuilt on demand from editable tables and ignore opening movement, so the “balanced” indicator is near-automatic. (RPT-14.)</w:t>
      </w:r>
    </w:p>
    <w:p>
      <w:pPr>
        <w:spacing w:after="140" w:line="276"/>
        <w:jc w:val="both"/>
      </w:pPr>
      <w:r>
        <w:rPr>
          <w:b/>
          <w:bCs/>
          <w:color w:val="2C5282"/>
        </w:rPr>
        <w:t xml:space="preserve">Governance note. </w:t>
      </w:r>
      <w:r>
        <w:t xml:space="preserve">The project's own change-control document protects a ledger table (“ledger_lines”) that does not actually exist in the software — a documentation-versus-reality gap worth noting.</w:t>
      </w:r>
    </w:p>
    <w:p>
      <w:pPr>
        <w:pStyle w:val="Heading2"/>
      </w:pPr>
      <w:r>
        <w:t xml:space="preserve">6.2  Revenue, billing and invoice integrity</w:t>
      </w:r>
    </w:p>
    <w:p>
      <w:pPr>
        <w:spacing w:after="140" w:line="276"/>
        <w:jc w:val="both"/>
      </w:pPr>
      <w:r>
        <w:t xml:space="preserve">These findings concern whether a bill, once issued, stays fixed and traceable.</w:t>
      </w:r>
    </w:p>
    <w:p>
      <w:pPr>
        <w:spacing w:after="140" w:line="276"/>
        <w:jc w:val="both"/>
      </w:pPr>
      <w:r>
        <w:rPr>
          <w:b/>
          <w:bCs/>
          <w:color w:val="2C5282"/>
        </w:rPr>
        <w:t xml:space="preserve">Issued invoices are deletable and renumbered (P0). </w:t>
      </w:r>
      <w:r>
        <w:t xml:space="preserve">Deleting a bill permanently removes it and its payments and then shifts every later invoice number of that month down by one. An invoice number a patient or the GST portal has already seen can thus be reassigned to a different bill, and the settlement evidence is lost. This is the single most serious integrity defect. (GST-02 / DQ-06.)</w:t>
      </w:r>
    </w:p>
    <w:p>
      <w:pPr>
        <w:spacing w:after="140" w:line="276"/>
        <w:jc w:val="both"/>
      </w:pPr>
      <w:r>
        <w:rPr>
          <w:b/>
          <w:bCs/>
          <w:color w:val="2C5282"/>
        </w:rPr>
        <w:t xml:space="preserve">Finalised invoices remain editable (P1). </w:t>
      </w:r>
      <w:r>
        <w:t xml:space="preserve">A finalised bill's amount can be changed in place — including to a negative value — with no credit or debit note. A closed period's turnover can therefore change after the fact. (GST-03.)</w:t>
      </w:r>
    </w:p>
    <w:p>
      <w:pPr>
        <w:spacing w:after="140" w:line="276"/>
        <w:jc w:val="both"/>
      </w:pPr>
      <w:r>
        <w:rPr>
          <w:b/>
          <w:bCs/>
          <w:color w:val="2C5282"/>
        </w:rPr>
        <w:t xml:space="preserve">Client-supplied price (P1). </w:t>
      </w:r>
      <w:r>
        <w:t xml:space="preserve">The price of a service can be set by the requesting device and is trusted by the server, creating a price-manipulation exposure at the billing boundary. (SEC-11.)</w:t>
      </w:r>
    </w:p>
    <w:p>
      <w:pPr>
        <w:spacing w:after="140" w:line="276"/>
        <w:jc w:val="both"/>
      </w:pPr>
      <w:r>
        <w:rPr>
          <w:b/>
          <w:bCs/>
          <w:color w:val="2C5282"/>
        </w:rPr>
        <w:t xml:space="preserve">Cached totals with many writers (P1). </w:t>
      </w:r>
      <w:r>
        <w:t xml:space="preserve">A bill's paid/refund/balance figures are updated by ten separate code paths and are never reconciled to the actual sum of its payments, so they can drift out of step. (DQ-03.)</w:t>
      </w:r>
    </w:p>
    <w:p>
      <w:pPr>
        <w:spacing w:after="140" w:line="276"/>
        <w:jc w:val="both"/>
      </w:pPr>
      <w:r>
        <w:rPr>
          <w:b/>
          <w:bCs/>
          <w:color w:val="2C5282"/>
        </w:rPr>
        <w:t xml:space="preserve">No receipt document (P1). </w:t>
      </w:r>
      <w:r>
        <w:t xml:space="preserve">There is no distinct receipt record; a payment row doubles as the receipt, so “one active receipt per payment” cannot be enforced. (DQ-07.)</w:t>
      </w:r>
    </w:p>
    <w:p>
      <w:pPr>
        <w:pStyle w:val="Heading2"/>
      </w:pPr>
      <w:r>
        <w:t xml:space="preserve">6.3  GST and statutory matters  (requires your validation)</w:t>
      </w:r>
    </w:p>
    <w:p>
      <w:pPr>
        <w:spacing w:after="140" w:line="276"/>
        <w:jc w:val="both"/>
      </w:pPr>
      <w:r>
        <w:t xml:space="preserve">The system does not currently compute or model GST. The items below are raised for your professional determination — they are not tax advice.</w:t>
      </w:r>
    </w:p>
    <w:p>
      <w:pPr>
        <w:spacing w:after="140" w:line="276"/>
        <w:jc w:val="both"/>
      </w:pPr>
      <w:r>
        <w:rPr>
          <w:b/>
          <w:bCs/>
          <w:color w:val="2C5282"/>
        </w:rPr>
        <w:t xml:space="preserve">No tax computed. </w:t>
      </w:r>
      <w:r>
        <w:t xml:space="preserve">The tax amount on every bill is fixed at zero. There is no tax-rate configuration, no per-service taxability flag, and no explicit healthcare-exemption model — the exemption, if applicable, is implicit. Please confirm the correct treatment for each service line (exempt vs taxable diagnostics/procedures/pharmacy). (GST-01, GST-05, DQ-14.)</w:t>
      </w:r>
    </w:p>
    <w:p>
      <w:pPr>
        <w:spacing w:after="140" w:line="276"/>
        <w:jc w:val="both"/>
      </w:pPr>
      <w:r>
        <w:rPr>
          <w:b/>
          <w:bCs/>
          <w:color w:val="2C5282"/>
        </w:rPr>
        <w:t xml:space="preserve">No credit / debit notes. </w:t>
      </w:r>
      <w:r>
        <w:t xml:space="preserve">Refunds are recorded as negative payment rows and cancellations only change a status; there is no numbered credit-note or debit-note document as contemplated by the GST law. Please advise whether the current handling meets your requirements. (GST-04.)</w:t>
      </w:r>
    </w:p>
    <w:p>
      <w:pPr>
        <w:spacing w:after="140" w:line="276"/>
        <w:jc w:val="both"/>
      </w:pPr>
      <w:r>
        <w:rPr>
          <w:b/>
          <w:bCs/>
          <w:color w:val="2C5282"/>
        </w:rPr>
        <w:t xml:space="preserve">Invoice format and numbering. </w:t>
      </w:r>
      <w:r>
        <w:t xml:space="preserve">A zero-tax document is titled “Tax Invoice” with no tax lines and no Bill-of-Supply/exemption declaration; the series has no financial-year identity, and the delete-renumber behaviour (§6.2) breaks continuity. Please advise on invoice-format and series-continuity compliance. (GST-06, GST-13, GST-02.)</w:t>
      </w:r>
    </w:p>
    <w:p>
      <w:pPr>
        <w:spacing w:after="140" w:line="276"/>
        <w:jc w:val="both"/>
      </w:pPr>
      <w:r>
        <w:rPr>
          <w:b/>
          <w:bCs/>
          <w:color w:val="2C5282"/>
        </w:rPr>
        <w:t xml:space="preserve">GSTIN and multi-entity. </w:t>
      </w:r>
      <w:r>
        <w:t xml:space="preserve">GSTIN fields accept any text with no validation, bills carry no branch/entity linkage, and all invoices print a single GSTIN — so a two-entity group cannot issue under the correct registration. (GST-07, GST-08.)</w:t>
      </w:r>
    </w:p>
    <w:p>
      <w:pPr>
        <w:spacing w:after="140" w:line="276"/>
        <w:jc w:val="both"/>
      </w:pPr>
      <w:r>
        <w:rPr>
          <w:b/>
          <w:bCs/>
          <w:color w:val="2C5282"/>
        </w:rPr>
        <w:t xml:space="preserve">No GST return / register. </w:t>
      </w:r>
      <w:r>
        <w:t xml:space="preserve">There is no reproducible tax register or return-ready extract; the Tally export carries no tax data and hardcodes a “Regular” registration type. Purchase-side GST / input credit / reverse charge is entirely unmodeled. (GST-10, GST-11.)</w:t>
      </w:r>
    </w:p>
    <w:p>
      <w:pPr>
        <w:spacing w:after="140" w:line="276"/>
        <w:jc w:val="both"/>
      </w:pPr>
      <w:r>
        <w:rPr>
          <w:b/>
          <w:bCs/>
          <w:color w:val="2C5282"/>
        </w:rPr>
        <w:t xml:space="preserve">Audit-trail obligation. </w:t>
      </w:r>
      <w:r>
        <w:t xml:space="preserve">Given that core money changes are logged only to an editable table (§6.8), please assess whether the applicable requirement for an un-disablable edit-log/audit trail in accounting software is met.</w:t>
      </w:r>
    </w:p>
    <w:p>
      <w:pPr>
        <w:pStyle w:val="Heading2"/>
      </w:pPr>
      <w:r>
        <w:t xml:space="preserve">6.4  Cash management and daily closing</w:t>
      </w:r>
    </w:p>
    <w:p>
      <w:pPr>
        <w:spacing w:after="140" w:line="276"/>
        <w:jc w:val="both"/>
      </w:pPr>
      <w:r>
        <w:t xml:space="preserve">These findings concern whether the day's cash can be reconciled and whether a shortfall would be detected.</w:t>
      </w:r>
    </w:p>
    <w:p>
      <w:pPr>
        <w:spacing w:after="140" w:line="276"/>
        <w:jc w:val="both"/>
      </w:pPr>
      <w:r>
        <w:rPr>
          <w:b/>
          <w:bCs/>
          <w:color w:val="2C5282"/>
        </w:rPr>
        <w:t xml:space="preserve">Cash expenses subtracted twice (P0). </w:t>
      </w:r>
      <w:r>
        <w:t xml:space="preserve">In the per-cashier close, cash expenses are deducted from the expected cash twice. The expected figure is therefore understated by the expense amount, which makes the physical count appear to be in surplus and can hide a real shortfall of the same size. (RPT-01.)</w:t>
      </w:r>
    </w:p>
    <w:p>
      <w:pPr>
        <w:spacing w:after="140" w:line="276"/>
        <w:jc w:val="both"/>
      </w:pPr>
      <w:r>
        <w:rPr>
          <w:b/>
          <w:bCs/>
          <w:color w:val="2C5282"/>
        </w:rPr>
        <w:t xml:space="preserve">Variance mechanism exists but is fed a wrong number. </w:t>
      </w:r>
      <w:r>
        <w:t xml:space="preserve">To be fair to the system: the day-closure record does capture a physically-counted actual, a system-expected figure, the resulting variance and the closing user's sign-off. The problem is not that the mechanism is absent — it is that the expected figure feeding it is corrupted by the defect above, so the recorded variance is unreliable. There is, separately, no opening-balance/shift-open concept.</w:t>
      </w:r>
    </w:p>
    <w:p>
      <w:pPr>
        <w:spacing w:after="140" w:line="276"/>
        <w:jc w:val="both"/>
      </w:pPr>
      <w:r>
        <w:rPr>
          <w:b/>
          <w:bCs/>
          <w:color w:val="2C5282"/>
        </w:rPr>
        <w:t xml:space="preserve">A close cannot be tied to its transactions (P2). </w:t>
      </w:r>
      <w:r>
        <w:t xml:space="preserve">A day-close stores totals but not the exact set of payments it certified, so a back-dated entry into a closed window would not be detected. (DQ-12.)</w:t>
      </w:r>
    </w:p>
    <w:p>
      <w:pPr>
        <w:spacing w:after="140" w:line="276"/>
        <w:jc w:val="both"/>
      </w:pPr>
      <w:r>
        <w:rPr>
          <w:b/>
          <w:bCs/>
          <w:color w:val="2C5282"/>
        </w:rPr>
        <w:t xml:space="preserve">“Day” means two different things (P3). </w:t>
      </w:r>
      <w:r>
        <w:t xml:space="preserve">The day-close is a rolling time window with a point-in-time label, which is not directly comparable to the calendar-day figures shown elsewhere. (RPT-09.)</w:t>
      </w:r>
    </w:p>
    <w:p>
      <w:pPr>
        <w:pStyle w:val="Heading2"/>
      </w:pPr>
      <w:r>
        <w:t xml:space="preserve">6.5  Bank, gateway and settlement reconciliation</w:t>
      </w:r>
    </w:p>
    <w:p>
      <w:pPr>
        <w:spacing w:after="140" w:line="276"/>
        <w:jc w:val="both"/>
      </w:pPr>
      <w:r>
        <w:t xml:space="preserve">These findings concern online/card/UPI money and whether “paid” means “received in the bank”.</w:t>
      </w:r>
    </w:p>
    <w:p>
      <w:pPr>
        <w:spacing w:after="140" w:line="276"/>
        <w:jc w:val="both"/>
      </w:pPr>
      <w:r>
        <w:rPr>
          <w:b/>
          <w:bCs/>
          <w:color w:val="2C5282"/>
        </w:rPr>
        <w:t xml:space="preserve">Payment success is not bank settlement. </w:t>
      </w:r>
      <w:r>
        <w:t xml:space="preserve">The system records that a gateway said “success” but does not model settlement: there is no bank reference/UTR, settlement batch, gateway fee, or bank-credit date, and no three-way reconciliation between the system, the gateway and the bank statement.</w:t>
      </w:r>
    </w:p>
    <w:p>
      <w:pPr>
        <w:spacing w:after="140" w:line="276"/>
        <w:jc w:val="both"/>
      </w:pPr>
      <w:r>
        <w:rPr>
          <w:b/>
          <w:bCs/>
          <w:color w:val="2C5282"/>
        </w:rPr>
        <w:t xml:space="preserve">Duplicate-receipt exposure (P1). </w:t>
      </w:r>
      <w:r>
        <w:t xml:space="preserve">There is no global uniqueness on a gateway transaction ID; the automatic and manual paths use different reference values, so a duplicate receipt can arise. (DQ-04.)</w:t>
      </w:r>
    </w:p>
    <w:p>
      <w:pPr>
        <w:spacing w:after="140" w:line="276"/>
        <w:jc w:val="both"/>
      </w:pPr>
      <w:r>
        <w:rPr>
          <w:b/>
          <w:bCs/>
          <w:color w:val="2C5282"/>
        </w:rPr>
        <w:t xml:space="preserve">Callback trust and retries (P1/P2). </w:t>
      </w:r>
      <w:r>
        <w:t xml:space="preserve">One gateway's callback signature does not cover the amount and has no anti-replay token, settlement endpoints need only a logged-in user, and webhooks acknowledge success before processing — so a genuine payment can be dropped without a retry. (SEC-04, SEC-05, SEC-10.)</w:t>
      </w:r>
    </w:p>
    <w:p>
      <w:pPr>
        <w:spacing w:after="140" w:line="276"/>
        <w:jc w:val="both"/>
      </w:pPr>
      <w:r>
        <w:rPr>
          <w:b/>
          <w:bCs/>
          <w:color w:val="2C5282"/>
        </w:rPr>
        <w:t xml:space="preserve">Wrong-day dating (P2). </w:t>
      </w:r>
      <w:r>
        <w:t xml:space="preserve">Gateway payments are dated when the callback is processed, not when the payment occurred, so a payment near midnight can fall on the wrong day. (RPT-10.)</w:t>
      </w:r>
    </w:p>
    <w:p>
      <w:pPr>
        <w:pStyle w:val="Heading2"/>
      </w:pPr>
      <w:r>
        <w:t xml:space="preserve">6.6  Refunds, discounts and credit control</w:t>
      </w:r>
    </w:p>
    <w:p>
      <w:pPr>
        <w:spacing w:after="140" w:line="276"/>
        <w:jc w:val="both"/>
      </w:pPr>
      <w:r>
        <w:t xml:space="preserve">A mix of a genuine strength and specific gaps.</w:t>
      </w:r>
    </w:p>
    <w:p>
      <w:pPr>
        <w:spacing w:after="140" w:line="276"/>
        <w:jc w:val="both"/>
      </w:pPr>
      <w:r>
        <w:rPr>
          <w:b/>
          <w:bCs/>
          <w:color w:val="2C5282"/>
        </w:rPr>
        <w:t xml:space="preserve">Refunds are handled well (a strength). </w:t>
      </w:r>
      <w:r>
        <w:t xml:space="preserve">The refund routine locks the bill, rejects a refund larger than the amount paid, preserves the original billed amount, and writes an audit row — all atomically. This is the model the rest of the system should follow. Its one gap is the absence of a credit-note document (§6.3).</w:t>
      </w:r>
    </w:p>
    <w:p>
      <w:pPr>
        <w:spacing w:after="140" w:line="276"/>
        <w:jc w:val="both"/>
      </w:pPr>
      <w:r>
        <w:rPr>
          <w:b/>
          <w:bCs/>
          <w:color w:val="2C5282"/>
        </w:rPr>
        <w:t xml:space="preserve">Discounts have a cap but no maker-checker (partial control). </w:t>
      </w:r>
      <w:r>
        <w:t xml:space="preserve">A per-role maximum-discount percentage is enforced for ordinary cashiers; however, administrator/super-administrator roles are exempt from the cap, there is no approval (maker-checker) workflow, and no separate approver identity is recorded. Because finalised bills can also be reduced after payment (§6.2), a bill can be lowered after cash is received with no independent sign-off.</w:t>
      </w:r>
    </w:p>
    <w:p>
      <w:pPr>
        <w:spacing w:after="140" w:line="276"/>
        <w:jc w:val="both"/>
      </w:pPr>
      <w:r>
        <w:rPr>
          <w:b/>
          <w:bCs/>
          <w:color w:val="2C5282"/>
        </w:rPr>
        <w:t xml:space="preserve">Credit / corporate / TPA billing. </w:t>
      </w:r>
      <w:r>
        <w:t xml:space="preserve">Credit-party accounts, credit limits, ageing and write-offs are not modeled as an accounts-receivable subledger; outstanding tracking relies on the same editable bill totals.</w:t>
      </w:r>
    </w:p>
    <w:p>
      <w:pPr>
        <w:pStyle w:val="Heading2"/>
      </w:pPr>
      <w:r>
        <w:t xml:space="preserve">6.7  Expenses and payables</w:t>
      </w:r>
    </w:p>
    <w:p>
      <w:pPr>
        <w:spacing w:after="140" w:line="276"/>
        <w:jc w:val="both"/>
      </w:pPr>
      <w:r>
        <w:t xml:space="preserve">These concern outgoings and vendor balances.</w:t>
      </w:r>
    </w:p>
    <w:p>
      <w:pPr>
        <w:spacing w:after="140" w:line="276"/>
        <w:jc w:val="both"/>
      </w:pPr>
      <w:r>
        <w:rPr>
          <w:b/>
          <w:bCs/>
          <w:color w:val="2C5282"/>
        </w:rPr>
        <w:t xml:space="preserve">Expense edit double-posts (P1). </w:t>
      </w:r>
      <w:r>
        <w:t xml:space="preserve">Editing an expense posts a new voucher for the full revised amount while leaving the original voucher in place, so a single expense can be counted twice in the ledger. (DQ-05.)</w:t>
      </w:r>
    </w:p>
    <w:p>
      <w:pPr>
        <w:spacing w:after="140" w:line="276"/>
        <w:jc w:val="both"/>
      </w:pPr>
      <w:r>
        <w:rPr>
          <w:b/>
          <w:bCs/>
          <w:color w:val="2C5282"/>
        </w:rPr>
        <w:t xml:space="preserve">One person can create, approve and delete (P1). </w:t>
      </w:r>
      <w:r>
        <w:t xml:space="preserve">An expense can be created, self-approved (approver is free text) and permanently deleted by the same user, and the delete leaves the posted voucher behind. There is no segregation of duties and no mandatory supporting evidence. (SEC-03, DQ-15.)</w:t>
      </w:r>
    </w:p>
    <w:p>
      <w:pPr>
        <w:spacing w:after="140" w:line="276"/>
        <w:jc w:val="both"/>
      </w:pPr>
      <w:r>
        <w:rPr>
          <w:b/>
          <w:bCs/>
          <w:color w:val="2C5282"/>
        </w:rPr>
        <w:t xml:space="preserve">Vendor payables. </w:t>
      </w:r>
      <w:r>
        <w:t xml:space="preserve">Vendor payables, partial settlements and ageing are not modeled; purchase-side GST is absent (§6.3).</w:t>
      </w:r>
    </w:p>
    <w:p>
      <w:pPr>
        <w:pStyle w:val="Heading2"/>
      </w:pPr>
      <w:r>
        <w:t xml:space="preserve">6.8  Audit trail and segregation of duties</w:t>
      </w:r>
    </w:p>
    <w:p>
      <w:pPr>
        <w:spacing w:after="140" w:line="276"/>
        <w:jc w:val="both"/>
      </w:pPr>
      <w:r>
        <w:t xml:space="preserve">These determine whether the record of who did what can be trusted.</w:t>
      </w:r>
    </w:p>
    <w:p>
      <w:pPr>
        <w:spacing w:after="140" w:line="276"/>
        <w:jc w:val="both"/>
      </w:pPr>
      <w:r>
        <w:rPr>
          <w:b/>
          <w:bCs/>
          <w:color w:val="2C5282"/>
        </w:rPr>
        <w:t xml:space="preserve">Money changes bypass a tamper-evident trail (P0). </w:t>
      </w:r>
      <w:r>
        <w:t xml:space="preserve">Bill edits, cancellations and refunds are logged only to an ordinary table that can itself be edited or deleted; they do not write to a tamper-evident (hash-chained) log. (SEC-01.)</w:t>
      </w:r>
    </w:p>
    <w:p>
      <w:pPr>
        <w:spacing w:after="140" w:line="276"/>
        <w:jc w:val="both"/>
      </w:pPr>
      <w:r>
        <w:rPr>
          <w:b/>
          <w:bCs/>
          <w:color w:val="2C5282"/>
        </w:rPr>
        <w:t xml:space="preserve">Vouchers and ledgers can be hard-deleted (P1/P2). </w:t>
      </w:r>
      <w:r>
        <w:t xml:space="preserve">Accounting vouchers can be permanently deleted with no reason or audit, and a “ledger reset” can delete payments, bills, orders, patients and the audit table itself. (SEC-02, SEC-08.)</w:t>
      </w:r>
    </w:p>
    <w:p>
      <w:pPr>
        <w:spacing w:after="140" w:line="276"/>
        <w:jc w:val="both"/>
      </w:pPr>
      <w:r>
        <w:rPr>
          <w:b/>
          <w:bCs/>
          <w:color w:val="2C5282"/>
        </w:rPr>
        <w:t xml:space="preserve">Spoofable attribution (P2). </w:t>
      </w:r>
      <w:r>
        <w:t xml:space="preserve">The person recorded against a financial change is taken from the request rather than the authenticated session, so attribution can be falsified; audit rows also omit IP/device and a chain hash. (SEC-07, DQ-11, SEC-12.)</w:t>
      </w:r>
    </w:p>
    <w:p>
      <w:pPr>
        <w:pStyle w:val="Heading2"/>
      </w:pPr>
      <w:r>
        <w:t xml:space="preserve">6.9  Database and data integrity</w:t>
      </w:r>
    </w:p>
    <w:p>
      <w:pPr>
        <w:spacing w:after="140" w:line="276"/>
        <w:jc w:val="both"/>
      </w:pPr>
      <w:r>
        <w:t xml:space="preserve">These concern what the database itself will accept, independent of the screens.</w:t>
      </w:r>
    </w:p>
    <w:p>
      <w:pPr>
        <w:spacing w:after="140" w:line="276"/>
        <w:jc w:val="both"/>
      </w:pPr>
      <w:r>
        <w:rPr>
          <w:b/>
          <w:bCs/>
          <w:color w:val="2C5282"/>
        </w:rPr>
        <w:t xml:space="preserve">No value checks (P0). </w:t>
      </w:r>
      <w:r>
        <w:t xml:space="preserve">The database enforces no monetary rules — negative bills, refunds larger than payments, or discounts larger than the bill are all storable if any code path or manual correction writes them. (DQ-01.)</w:t>
      </w:r>
    </w:p>
    <w:p>
      <w:pPr>
        <w:spacing w:after="140" w:line="276"/>
        <w:jc w:val="both"/>
      </w:pPr>
      <w:r>
        <w:rPr>
          <w:b/>
          <w:bCs/>
          <w:color w:val="2C5282"/>
        </w:rPr>
        <w:t xml:space="preserve">Missing keys in a reconcile script (P0). </w:t>
      </w:r>
      <w:r>
        <w:t xml:space="preserve">A hand-written schema-reconcile script recreates the core tables without unique constraints or foreign keys, permitting duplicate invoice numbers and orphan rows. Which version of the structure is actually live should be confirmed. (DQ-02.)</w:t>
      </w:r>
    </w:p>
    <w:p>
      <w:pPr>
        <w:spacing w:after="140" w:line="276"/>
        <w:jc w:val="both"/>
      </w:pPr>
      <w:r>
        <w:rPr>
          <w:b/>
          <w:bCs/>
          <w:color w:val="2C5282"/>
        </w:rPr>
        <w:t xml:space="preserve">Text dates and unlinked accounts (P1/P2). </w:t>
      </w:r>
      <w:r>
        <w:t xml:space="preserve">Voucher account references are free text not linked to the accounts table, and financial dates are stored as text — both weaken integrity and reporting. (DQ-09, DQ-10.)</w:t>
      </w:r>
    </w:p>
    <w:p>
      <w:pPr>
        <w:pStyle w:val="Heading1"/>
      </w:pPr>
      <w:r>
        <w:t xml:space="preserve">7.  Data verification you should request</w:t>
      </w:r>
    </w:p>
    <w:p>
      <w:pPr>
        <w:spacing w:after="140" w:line="276"/>
        <w:jc w:val="both"/>
      </w:pPr>
      <w:r>
        <w:t xml:space="preserve">Because the review did not see live data, the accompanying read-only script (“accounting-data-audit.sql”) is provided to test the actual records. It is safe to run against a copy of the production database — it only reads, and makes no changes. It looks for, among other things:</w:t>
      </w:r>
    </w:p>
    <w:p>
      <w:pPr>
        <w:pStyle w:val="ListParagraph"/>
        <w:numPr>
          <w:ilvl w:val="0"/>
          <w:numId w:val="1"/>
        </w:numPr>
        <w:spacing w:after="90" w:line="268"/>
        <w:jc w:val="left"/>
      </w:pPr>
      <w:r>
        <w:t xml:space="preserve">Duplicate invoice, receipt or gateway-transaction identifiers</w:t>
      </w:r>
    </w:p>
    <w:p>
      <w:pPr>
        <w:pStyle w:val="ListParagraph"/>
        <w:numPr>
          <w:ilvl w:val="0"/>
          <w:numId w:val="1"/>
        </w:numPr>
        <w:spacing w:after="90" w:line="268"/>
        <w:jc w:val="left"/>
      </w:pPr>
      <w:r>
        <w:t xml:space="preserve">Refunds larger than the payments received; discounts larger than the bill; negative bills or payments</w:t>
      </w:r>
    </w:p>
    <w:p>
      <w:pPr>
        <w:pStyle w:val="ListParagraph"/>
        <w:numPr>
          <w:ilvl w:val="0"/>
          <w:numId w:val="1"/>
        </w:numPr>
        <w:spacing w:after="90" w:line="268"/>
        <w:jc w:val="left"/>
      </w:pPr>
      <w:r>
        <w:t xml:space="preserve">Bills whose stored paid/balance figures disagree with their actual payments</w:t>
      </w:r>
    </w:p>
    <w:p>
      <w:pPr>
        <w:pStyle w:val="ListParagraph"/>
        <w:numPr>
          <w:ilvl w:val="0"/>
          <w:numId w:val="1"/>
        </w:numPr>
        <w:spacing w:after="90" w:line="268"/>
        <w:jc w:val="left"/>
      </w:pPr>
      <w:r>
        <w:t xml:space="preserve">Successful gateway payments with no confirmed booking (and the reverse)</w:t>
      </w:r>
    </w:p>
    <w:p>
      <w:pPr>
        <w:pStyle w:val="ListParagraph"/>
        <w:numPr>
          <w:ilvl w:val="0"/>
          <w:numId w:val="1"/>
        </w:numPr>
        <w:spacing w:after="90" w:line="268"/>
        <w:jc w:val="left"/>
      </w:pPr>
      <w:r>
        <w:t xml:space="preserve">Cancelled bills that still carry active payments, and orphaned voucher/payment rows</w:t>
      </w:r>
    </w:p>
    <w:p>
      <w:pPr>
        <w:spacing w:after="140" w:line="276"/>
        <w:jc w:val="both"/>
      </w:pPr>
      <w:r>
        <w:rPr>
          <w:b/>
          <w:bCs/>
        </w:rPr>
        <w:t xml:space="preserve">Recommended action: </w:t>
      </w:r>
      <w:r>
        <w:t xml:space="preserve">run this script against a recent copy of production and review the anomaly counts. Until that is done, the true state of the data is unverified. We can assist your team in running it and interpreting the results.</w:t>
      </w:r>
    </w:p>
    <w:p>
      <w:pPr>
        <w:pStyle w:val="Heading1"/>
      </w:pPr>
      <w:r>
        <w:t xml:space="preserve">8.  Recommended remediation (phased)</w:t>
      </w:r>
    </w:p>
    <w:p>
      <w:pPr>
        <w:spacing w:after="140" w:line="276"/>
        <w:jc w:val="both"/>
      </w:pPr>
      <w:r>
        <w:t xml:space="preserve">The corrections are grouped so that the most damaging issues are addressed first, without disturbing existing records, invoices or workflows.</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20"/>
        <w:gridCol w:w="46"/>
        <w:gridCol w:w="34"/>
      </w:tblGrid>
      <w:tr>
        <w:tc>
          <w:tcPr>
            <w:tcW w:type="pct" w:w="20%"/>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Phase</w:t>
            </w:r>
          </w:p>
        </w:tc>
        <w:tc>
          <w:tcPr>
            <w:tcW w:type="pct" w:w="46%"/>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Focus</w:t>
            </w:r>
          </w:p>
        </w:tc>
        <w:tc>
          <w:tcPr>
            <w:tcW w:type="pct" w:w="34%"/>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Outcome for you</w:t>
            </w:r>
          </w:p>
        </w:tc>
      </w:tr>
      <w:tr>
        <w:tc>
          <w:tcPr>
            <w:tcMar>
              <w:top w:type="dxa" w:w="60"/>
              <w:left w:type="dxa" w:w="90"/>
              <w:bottom w:type="dxa" w:w="60"/>
              <w:right w:type="dxa" w:w="90"/>
            </w:tcMar>
            <w:vAlign w:val="center"/>
          </w:tcPr>
          <w:p>
            <w:pPr>
              <w:spacing w:after="20"/>
              <w:jc w:val="left"/>
            </w:pPr>
            <w:r>
              <w:rPr>
                <w:b/>
                <w:bCs/>
                <w:color w:val="1A202C"/>
                <w:sz w:val="18"/>
                <w:szCs w:val="18"/>
              </w:rPr>
              <w:t xml:space="preserve">0 — Immediate safeguards</w:t>
            </w:r>
          </w:p>
        </w:tc>
        <w:tc>
          <w:tcPr>
            <w:tcMar>
              <w:top w:type="dxa" w:w="60"/>
              <w:left w:type="dxa" w:w="90"/>
              <w:bottom w:type="dxa" w:w="60"/>
              <w:right w:type="dxa" w:w="90"/>
            </w:tcMar>
            <w:vAlign w:val="center"/>
          </w:tcPr>
          <w:p>
            <w:pPr>
              <w:spacing w:after="20"/>
              <w:jc w:val="left"/>
            </w:pPr>
            <w:r>
              <w:rPr>
                <w:color w:val="1A202C"/>
                <w:sz w:val="18"/>
                <w:szCs w:val="18"/>
              </w:rPr>
              <w:t xml:space="preserve">Stop the cash double-subtract; stop deleting/renumbering issued invoices (soft-cancel instead); stop editing finalised bills (use reversals); add database value checks and unique keys; secure the payment callbacks; tighten who can settle/refund/delete.</w:t>
            </w:r>
          </w:p>
        </w:tc>
        <w:tc>
          <w:tcPr>
            <w:tcMar>
              <w:top w:type="dxa" w:w="60"/>
              <w:left w:type="dxa" w:w="90"/>
              <w:bottom w:type="dxa" w:w="60"/>
              <w:right w:type="dxa" w:w="90"/>
            </w:tcMar>
            <w:vAlign w:val="center"/>
          </w:tcPr>
          <w:p>
            <w:pPr>
              <w:spacing w:after="20"/>
              <w:jc w:val="left"/>
            </w:pPr>
            <w:r>
              <w:rPr>
                <w:color w:val="1A202C"/>
                <w:sz w:val="18"/>
                <w:szCs w:val="18"/>
              </w:rPr>
              <w:t xml:space="preserve">Records can no longer be destroyed or silently altered; cash reconciliation becomes correct.</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1 — Integrity foundation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One consistent money type; every linked write inside a transaction; a proper receipt record; reliable (not best-effort) ledger posting with reconciliation; a tamper-evident audit log.</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system's own numbers become internally consistent and traceable.</w:t>
            </w:r>
          </w:p>
        </w:tc>
      </w:tr>
      <w:tr>
        <w:tc>
          <w:tcPr>
            <w:tcMar>
              <w:top w:type="dxa" w:w="60"/>
              <w:left w:type="dxa" w:w="90"/>
              <w:bottom w:type="dxa" w:w="60"/>
              <w:right w:type="dxa" w:w="90"/>
            </w:tcMar>
            <w:vAlign w:val="center"/>
          </w:tcPr>
          <w:p>
            <w:pPr>
              <w:spacing w:after="20"/>
              <w:jc w:val="left"/>
            </w:pPr>
            <w:r>
              <w:rPr>
                <w:b/>
                <w:bCs/>
                <w:color w:val="1A202C"/>
                <w:sz w:val="18"/>
                <w:szCs w:val="18"/>
              </w:rPr>
              <w:t xml:space="preserve">2 — Cash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Cashier sessions with opening balance; day-close tied to its exact transactions; bank/gateway settlement and three-way reconciliation.</w:t>
            </w:r>
          </w:p>
        </w:tc>
        <w:tc>
          <w:tcPr>
            <w:tcMar>
              <w:top w:type="dxa" w:w="60"/>
              <w:left w:type="dxa" w:w="90"/>
              <w:bottom w:type="dxa" w:w="60"/>
              <w:right w:type="dxa" w:w="90"/>
            </w:tcMar>
            <w:vAlign w:val="center"/>
          </w:tcPr>
          <w:p>
            <w:pPr>
              <w:spacing w:after="20"/>
              <w:jc w:val="left"/>
            </w:pPr>
            <w:r>
              <w:rPr>
                <w:color w:val="1A202C"/>
                <w:sz w:val="18"/>
                <w:szCs w:val="18"/>
              </w:rPr>
              <w:t xml:space="preserve">Daily cash and bank positions can be reconciled and shortfalls detected.</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3 — Receivables, payables, expense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Credit/corporate/TPA subledgers with limits and ageing; vendor payables; expense approval with verified identity and evidence.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Outstandings and payables become auditable.</w:t>
            </w:r>
          </w:p>
        </w:tc>
      </w:tr>
      <w:tr>
        <w:tc>
          <w:tcPr>
            <w:tcMar>
              <w:top w:type="dxa" w:w="60"/>
              <w:left w:type="dxa" w:w="90"/>
              <w:bottom w:type="dxa" w:w="60"/>
              <w:right w:type="dxa" w:w="90"/>
            </w:tcMar>
            <w:vAlign w:val="center"/>
          </w:tcPr>
          <w:p>
            <w:pPr>
              <w:spacing w:after="20"/>
              <w:jc w:val="left"/>
            </w:pPr>
            <w:r>
              <w:rPr>
                <w:b/>
                <w:bCs/>
                <w:color w:val="1A202C"/>
                <w:sz w:val="18"/>
                <w:szCs w:val="18"/>
              </w:rPr>
              <w:t xml:space="preserve">4 — GST &amp; statutory (with your sign-off)</w:t>
            </w:r>
          </w:p>
        </w:tc>
        <w:tc>
          <w:tcPr>
            <w:tcMar>
              <w:top w:type="dxa" w:w="60"/>
              <w:left w:type="dxa" w:w="90"/>
              <w:bottom w:type="dxa" w:w="60"/>
              <w:right w:type="dxa" w:w="90"/>
            </w:tcMar>
            <w:vAlign w:val="center"/>
          </w:tcPr>
          <w:p>
            <w:pPr>
              <w:spacing w:after="20"/>
              <w:jc w:val="left"/>
            </w:pPr>
            <w:r>
              <w:rPr>
                <w:color w:val="1A202C"/>
                <w:sz w:val="18"/>
                <w:szCs w:val="18"/>
              </w:rPr>
              <w:t xml:space="preserve">Line-level tax, HSN/SAC, CGST/SGST/IGST split, credit/debit notes, exemption handling, per-registration series, return-ready registers.</w:t>
            </w:r>
          </w:p>
        </w:tc>
        <w:tc>
          <w:tcPr>
            <w:tcMar>
              <w:top w:type="dxa" w:w="60"/>
              <w:left w:type="dxa" w:w="90"/>
              <w:bottom w:type="dxa" w:w="60"/>
              <w:right w:type="dxa" w:w="90"/>
            </w:tcMar>
            <w:vAlign w:val="center"/>
          </w:tcPr>
          <w:p>
            <w:pPr>
              <w:spacing w:after="20"/>
              <w:jc w:val="left"/>
            </w:pPr>
            <w:r>
              <w:rPr>
                <w:color w:val="1A202C"/>
                <w:sz w:val="18"/>
                <w:szCs w:val="18"/>
              </w:rPr>
              <w:t xml:space="preserve">GST compliance can be evidenced — subject to your determination.</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5 — Double-entry core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 real journal engine with balanced multi-line entries, immutable postings and reversals, fiscal periods, and statements produced from posted entries.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system becomes a genuine accounting platform.</w:t>
            </w:r>
          </w:p>
        </w:tc>
      </w:tr>
    </w:tbl>
    <w:p>
      <w:pPr>
        <w:pStyle w:val="Heading1"/>
      </w:pPr>
      <w:r>
        <w:t xml:space="preserve">9.  Matters for your determination</w:t>
      </w:r>
    </w:p>
    <w:p>
      <w:pPr>
        <w:spacing w:after="140" w:line="276"/>
        <w:jc w:val="both"/>
      </w:pPr>
      <w:r>
        <w:t xml:space="preserve">We would value your guidance on the following, which are outside the scope of a systems review:</w:t>
      </w:r>
    </w:p>
    <w:p>
      <w:pPr>
        <w:pStyle w:val="ListParagraph"/>
        <w:numPr>
          <w:ilvl w:val="0"/>
          <w:numId w:val="1"/>
        </w:numPr>
        <w:spacing w:after="90" w:line="268"/>
        <w:jc w:val="left"/>
      </w:pPr>
      <w:r>
        <w:t xml:space="preserve">The correct GST treatment of each service category (diagnostics, imaging, procedures, pharmacy/consumables) and how the healthcare exemption should be represented on documents.</w:t>
      </w:r>
    </w:p>
    <w:p>
      <w:pPr>
        <w:pStyle w:val="ListParagraph"/>
        <w:numPr>
          <w:ilvl w:val="0"/>
          <w:numId w:val="1"/>
        </w:numPr>
        <w:spacing w:after="90" w:line="268"/>
        <w:jc w:val="left"/>
      </w:pPr>
      <w:r>
        <w:t xml:space="preserve">Whether the current invoice format (a zero-tax “Tax Invoice”, no Bill-of-Supply) and the loss of invoice-number continuity on deletion are acceptable, and what series structure you require.</w:t>
      </w:r>
    </w:p>
    <w:p>
      <w:pPr>
        <w:pStyle w:val="ListParagraph"/>
        <w:numPr>
          <w:ilvl w:val="0"/>
          <w:numId w:val="1"/>
        </w:numPr>
        <w:spacing w:after="90" w:line="268"/>
        <w:jc w:val="left"/>
      </w:pPr>
      <w:r>
        <w:t xml:space="preserve">Whether refunds and cancellations must generate numbered credit notes, and in what form.</w:t>
      </w:r>
    </w:p>
    <w:p>
      <w:pPr>
        <w:pStyle w:val="ListParagraph"/>
        <w:numPr>
          <w:ilvl w:val="0"/>
          <w:numId w:val="1"/>
        </w:numPr>
        <w:spacing w:after="90" w:line="268"/>
        <w:jc w:val="left"/>
      </w:pPr>
      <w:r>
        <w:t xml:space="preserve">Whether the applicable audit-trail / edit-log requirement for accounting software applies to this entity, and if so the standard the system must meet.</w:t>
      </w:r>
    </w:p>
    <w:p>
      <w:pPr>
        <w:pStyle w:val="ListParagraph"/>
        <w:numPr>
          <w:ilvl w:val="0"/>
          <w:numId w:val="1"/>
        </w:numPr>
        <w:spacing w:after="90" w:line="268"/>
        <w:jc w:val="left"/>
      </w:pPr>
      <w:r>
        <w:t xml:space="preserve">The acceptable basis of revenue recognition (the system currently recognises on receipt).</w:t>
      </w:r>
    </w:p>
    <w:p>
      <w:pPr>
        <w:pStyle w:val="ListParagraph"/>
        <w:numPr>
          <w:ilvl w:val="0"/>
          <w:numId w:val="1"/>
        </w:numPr>
        <w:spacing w:after="90" w:line="268"/>
        <w:jc w:val="left"/>
      </w:pPr>
      <w:r>
        <w:t xml:space="preserve">Your preferred reconciliation cadence between the system's figures, the bank statements and the gateway settlement reports.</w:t>
      </w:r>
    </w:p>
    <w:p>
      <w:pPr>
        <w:pStyle w:val="Heading1"/>
      </w:pPr>
      <w:r>
        <w:t xml:space="preserve">10.  Accompanying materials</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42"/>
        <w:gridCol w:w="58"/>
      </w:tblGrid>
      <w:tr>
        <w:tc>
          <w:tcPr>
            <w:tcW w:type="pct" w:w="42%"/>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Item</w:t>
            </w:r>
          </w:p>
        </w:tc>
        <w:tc>
          <w:tcPr>
            <w:tcW w:type="pct" w:w="58%"/>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Description</w:t>
            </w:r>
          </w:p>
        </w:tc>
      </w:tr>
      <w:tr>
        <w:tc>
          <w:tcPr>
            <w:tcMar>
              <w:top w:type="dxa" w:w="60"/>
              <w:left w:type="dxa" w:w="90"/>
              <w:bottom w:type="dxa" w:w="60"/>
              <w:right w:type="dxa" w:w="90"/>
            </w:tcMar>
            <w:vAlign w:val="center"/>
          </w:tcPr>
          <w:p>
            <w:pPr>
              <w:spacing w:after="20"/>
              <w:jc w:val="left"/>
            </w:pPr>
            <w:r>
              <w:rPr>
                <w:b/>
                <w:bCs/>
                <w:color w:val="1A202C"/>
                <w:sz w:val="18"/>
                <w:szCs w:val="18"/>
              </w:rPr>
              <w:t xml:space="preserve">Illustrated summary (PDF)</w:t>
            </w:r>
          </w:p>
        </w:tc>
        <w:tc>
          <w:tcPr>
            <w:tcMar>
              <w:top w:type="dxa" w:w="60"/>
              <w:left w:type="dxa" w:w="90"/>
              <w:bottom w:type="dxa" w:w="60"/>
              <w:right w:type="dxa" w:w="90"/>
            </w:tcMar>
            <w:vAlign w:val="center"/>
          </w:tcPr>
          <w:p>
            <w:pPr>
              <w:spacing w:after="20"/>
              <w:jc w:val="left"/>
            </w:pPr>
            <w:r>
              <w:rPr>
                <w:color w:val="1A202C"/>
                <w:sz w:val="18"/>
                <w:szCs w:val="18"/>
              </w:rPr>
              <w:t xml:space="preserve">An 8-page colour report — scorecard, charts and process diagrams — suitable for a quick overview.</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Detailed technical documents (14)</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Section-by-section audit: system map, database, billing/payment flow, gateway/reconciliation, cash/expense/closing, GST, security, reporting, data quality, gap analysis, roadmap, test strategy, executive summary.</w:t>
            </w:r>
          </w:p>
        </w:tc>
      </w:tr>
      <w:tr>
        <w:tc>
          <w:tcPr>
            <w:tcMar>
              <w:top w:type="dxa" w:w="60"/>
              <w:left w:type="dxa" w:w="90"/>
              <w:bottom w:type="dxa" w:w="60"/>
              <w:right w:type="dxa" w:w="90"/>
            </w:tcMar>
            <w:vAlign w:val="center"/>
          </w:tcPr>
          <w:p>
            <w:pPr>
              <w:spacing w:after="20"/>
              <w:jc w:val="left"/>
            </w:pPr>
            <w:r>
              <w:rPr>
                <w:b/>
                <w:bCs/>
                <w:color w:val="1A202C"/>
                <w:sz w:val="18"/>
                <w:szCs w:val="18"/>
              </w:rPr>
              <w:t xml:space="preserve">accounting-data-audit.sql</w:t>
            </w:r>
          </w:p>
        </w:tc>
        <w:tc>
          <w:tcPr>
            <w:tcMar>
              <w:top w:type="dxa" w:w="60"/>
              <w:left w:type="dxa" w:w="90"/>
              <w:bottom w:type="dxa" w:w="60"/>
              <w:right w:type="dxa" w:w="90"/>
            </w:tcMar>
            <w:vAlign w:val="center"/>
          </w:tcPr>
          <w:p>
            <w:pPr>
              <w:spacing w:after="20"/>
              <w:jc w:val="left"/>
            </w:pPr>
            <w:r>
              <w:rPr>
                <w:color w:val="1A202C"/>
                <w:sz w:val="18"/>
                <w:szCs w:val="18"/>
              </w:rPr>
              <w:t xml:space="preserve">The read-only data-checking script described in §7.</w:t>
            </w:r>
          </w:p>
        </w:tc>
      </w:tr>
      <w:tr>
        <w:tc>
          <w:tcPr>
            <w:shd w:fill="EEF2F7" w:color="auto" w:val="clear"/>
            <w:tcMar>
              <w:top w:type="dxa" w:w="60"/>
              <w:left w:type="dxa" w:w="90"/>
              <w:bottom w:type="dxa" w:w="60"/>
              <w:right w:type="dxa" w:w="90"/>
            </w:tcMar>
            <w:vAlign w:val="center"/>
          </w:tcPr>
          <w:p>
            <w:pPr>
              <w:spacing w:after="20"/>
              <w:jc w:val="left"/>
            </w:pPr>
            <w:r>
              <w:rPr>
                <w:b/>
                <w:bCs/>
                <w:color w:val="1A202C"/>
                <w:sz w:val="18"/>
                <w:szCs w:val="18"/>
              </w:rPr>
              <w:t xml:space="preserve">Full findings register</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Appendix A of this note lists all 62 findings with their grade, area and evidence.</w:t>
            </w:r>
          </w:p>
        </w:tc>
      </w:tr>
    </w:tbl>
    <w:p>
      <w:r>
        <w:br w:type="page"/>
      </w:r>
    </w:p>
    <w:p>
      <w:pPr>
        <w:pStyle w:val="Heading1"/>
      </w:pPr>
      <w:r>
        <w:t xml:space="preserve">Appendix A — Full findings register</w:t>
      </w:r>
    </w:p>
    <w:p>
      <w:pPr>
        <w:spacing w:after="140" w:line="276"/>
        <w:jc w:val="both"/>
      </w:pPr>
      <w:r>
        <w:t xml:space="preserve">All 62 findings, grouped by grade. “Evidence” names the primary source location. Grades are the reconciled figures. </w:t>
      </w:r>
      <w:r>
        <w:rPr>
          <w:i/>
          <w:iCs/>
        </w:rPr>
        <w:t xml:space="preserve">Items marked below relating to GST are for your determination, not settled positions.</w:t>
      </w:r>
    </w:p>
    <w:p>
      <w:pPr>
        <w:spacing w:after="60" w:before="160"/>
      </w:pPr>
      <w:r>
        <w:rPr>
          <w:b/>
          <w:bCs/>
          <w:color w:val="C0392B"/>
          <w:sz w:val="22"/>
          <w:szCs w:val="22"/>
        </w:rPr>
        <w:t xml:space="preserve">P0 — Critical  (5)</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11"/>
        <w:gridCol w:w="20"/>
        <w:gridCol w:w="51"/>
        <w:gridCol w:w="18"/>
      </w:tblGrid>
      <w:tr>
        <w:tc>
          <w:tcPr>
            <w:tcW w:type="pct" w:w="1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ID</w:t>
            </w:r>
          </w:p>
        </w:tc>
        <w:tc>
          <w:tcPr>
            <w:tcW w:type="pct" w:w="20%"/>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Area</w:t>
            </w:r>
          </w:p>
        </w:tc>
        <w:tc>
          <w:tcPr>
            <w:tcW w:type="pct" w:w="5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Finding</w:t>
            </w:r>
          </w:p>
        </w:tc>
        <w:tc>
          <w:tcPr>
            <w:tcW w:type="pct" w:w="18%"/>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Evidence</w:t>
            </w:r>
          </w:p>
        </w:tc>
      </w:tr>
      <w:tr>
        <w:tc>
          <w:tcPr>
            <w:tcMar>
              <w:top w:type="dxa" w:w="60"/>
              <w:left w:type="dxa" w:w="90"/>
              <w:bottom w:type="dxa" w:w="60"/>
              <w:right w:type="dxa" w:w="90"/>
            </w:tcMar>
            <w:vAlign w:val="center"/>
          </w:tcPr>
          <w:p>
            <w:pPr>
              <w:spacing w:after="20"/>
              <w:jc w:val="left"/>
            </w:pPr>
            <w:r>
              <w:rPr>
                <w:b/>
                <w:bCs/>
                <w:color w:val="C0392B"/>
                <w:sz w:val="18"/>
                <w:szCs w:val="18"/>
              </w:rPr>
              <w:t xml:space="preserve">GST-02</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Deleting a bill hard-deletes its payment records and renumbers every later invoice of the month, so an already-issued invoice number is reassigned to a different bill.</w:t>
            </w:r>
          </w:p>
        </w:tc>
        <w:tc>
          <w:tcPr>
            <w:tcMar>
              <w:top w:type="dxa" w:w="60"/>
              <w:left w:type="dxa" w:w="90"/>
              <w:bottom w:type="dxa" w:w="60"/>
              <w:right w:type="dxa" w:w="90"/>
            </w:tcMar>
            <w:vAlign w:val="center"/>
          </w:tcPr>
          <w:p>
            <w:pPr>
              <w:spacing w:after="20"/>
              <w:jc w:val="left"/>
            </w:pPr>
            <w:r>
              <w:rPr>
                <w:color w:val="1A202C"/>
                <w:sz w:val="18"/>
                <w:szCs w:val="18"/>
              </w:rPr>
              <w:t xml:space="preserve">bills.ts (delete + renumber loop)</w:t>
            </w:r>
          </w:p>
        </w:tc>
      </w:tr>
      <w:tr>
        <w:tc>
          <w:tcPr>
            <w:shd w:fill="EEF2F7" w:color="auto" w:val="clear"/>
            <w:tcMar>
              <w:top w:type="dxa" w:w="60"/>
              <w:left w:type="dxa" w:w="90"/>
              <w:bottom w:type="dxa" w:w="60"/>
              <w:right w:type="dxa" w:w="90"/>
            </w:tcMar>
            <w:vAlign w:val="center"/>
          </w:tcPr>
          <w:p>
            <w:pPr>
              <w:spacing w:after="20"/>
              <w:jc w:val="left"/>
            </w:pPr>
            <w:r>
              <w:rPr>
                <w:b/>
                <w:bCs/>
                <w:color w:val="C0392B"/>
                <w:sz w:val="18"/>
                <w:szCs w:val="18"/>
              </w:rPr>
              <w:t xml:space="preserve">SEC-01</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Core money changes (bill edits, cancellations, refunds) are logged only to an ordinary, editable/deletable table — not a tamper-evident trail.</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C0392B"/>
                <w:sz w:val="18"/>
                <w:szCs w:val="18"/>
              </w:rPr>
              <w:t xml:space="preserve">RPT-01</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The per-cashier daily cash close subtracts cash expenses twice, so a drawer's expected cash is understated by the expense amount.</w:t>
            </w:r>
          </w:p>
        </w:tc>
        <w:tc>
          <w:tcPr>
            <w:tcMar>
              <w:top w:type="dxa" w:w="60"/>
              <w:left w:type="dxa" w:w="90"/>
              <w:bottom w:type="dxa" w:w="60"/>
              <w:right w:type="dxa" w:w="90"/>
            </w:tcMar>
            <w:vAlign w:val="center"/>
          </w:tcPr>
          <w:p>
            <w:pPr>
              <w:spacing w:after="20"/>
              <w:jc w:val="left"/>
            </w:pPr>
            <w:r>
              <w:rPr>
                <w:color w:val="1A202C"/>
                <w:sz w:val="18"/>
                <w:szCs w:val="18"/>
              </w:rPr>
              <w:t xml:space="preserve">day-close.ts</w:t>
            </w:r>
          </w:p>
        </w:tc>
      </w:tr>
      <w:tr>
        <w:tc>
          <w:tcPr>
            <w:shd w:fill="EEF2F7" w:color="auto" w:val="clear"/>
            <w:tcMar>
              <w:top w:type="dxa" w:w="60"/>
              <w:left w:type="dxa" w:w="90"/>
              <w:bottom w:type="dxa" w:w="60"/>
              <w:right w:type="dxa" w:w="90"/>
            </w:tcMar>
            <w:vAlign w:val="center"/>
          </w:tcPr>
          <w:p>
            <w:pPr>
              <w:spacing w:after="20"/>
              <w:jc w:val="left"/>
            </w:pPr>
            <w:r>
              <w:rPr>
                <w:b/>
                <w:bCs/>
                <w:color w:val="C0392B"/>
                <w:sz w:val="18"/>
                <w:szCs w:val="18"/>
              </w:rPr>
              <w:t xml:space="preserve">DQ-01</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database enforces no value checks on money (no non-negative, no refund≤paid, no discount≤subtotal); such rows are only prevented by application code.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0000_dear_forge.sql</w:t>
            </w:r>
          </w:p>
        </w:tc>
      </w:tr>
      <w:tr>
        <w:tc>
          <w:tcPr>
            <w:tcMar>
              <w:top w:type="dxa" w:w="60"/>
              <w:left w:type="dxa" w:w="90"/>
              <w:bottom w:type="dxa" w:w="60"/>
              <w:right w:type="dxa" w:w="90"/>
            </w:tcMar>
            <w:vAlign w:val="center"/>
          </w:tcPr>
          <w:p>
            <w:pPr>
              <w:spacing w:after="20"/>
              <w:jc w:val="left"/>
            </w:pPr>
            <w:r>
              <w:rPr>
                <w:b/>
                <w:bCs/>
                <w:color w:val="C0392B"/>
                <w:sz w:val="18"/>
                <w:szCs w:val="18"/>
              </w:rPr>
              <w:t xml:space="preserve">DQ-02</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A hand-written schema-reconcile script recreates the bills/payments/vouchers tables with no unique constraints and no foreign keys — permitting duplicate invoice numbers and orphan rows.</w:t>
            </w:r>
          </w:p>
        </w:tc>
        <w:tc>
          <w:tcPr>
            <w:tcMar>
              <w:top w:type="dxa" w:w="60"/>
              <w:left w:type="dxa" w:w="90"/>
              <w:bottom w:type="dxa" w:w="60"/>
              <w:right w:type="dxa" w:w="90"/>
            </w:tcMar>
            <w:vAlign w:val="center"/>
          </w:tcPr>
          <w:p>
            <w:pPr>
              <w:spacing w:after="20"/>
              <w:jc w:val="left"/>
            </w:pPr>
            <w:r>
              <w:rPr>
                <w:color w:val="1A202C"/>
                <w:sz w:val="18"/>
                <w:szCs w:val="18"/>
              </w:rPr>
              <w:t xml:space="preserve">zz_schema_reconcile_20260709.sql</w:t>
            </w:r>
          </w:p>
        </w:tc>
      </w:tr>
    </w:tbl>
    <w:p>
      <w:pPr>
        <w:spacing w:after="60" w:before="160"/>
      </w:pPr>
      <w:r>
        <w:rPr>
          <w:b/>
          <w:bCs/>
          <w:color w:val="D35400"/>
          <w:sz w:val="22"/>
          <w:szCs w:val="22"/>
        </w:rPr>
        <w:t xml:space="preserve">P1 — High  (16)</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11"/>
        <w:gridCol w:w="20"/>
        <w:gridCol w:w="51"/>
        <w:gridCol w:w="18"/>
      </w:tblGrid>
      <w:tr>
        <w:tc>
          <w:tcPr>
            <w:tcW w:type="pct" w:w="1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ID</w:t>
            </w:r>
          </w:p>
        </w:tc>
        <w:tc>
          <w:tcPr>
            <w:tcW w:type="pct" w:w="20%"/>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Area</w:t>
            </w:r>
          </w:p>
        </w:tc>
        <w:tc>
          <w:tcPr>
            <w:tcW w:type="pct" w:w="5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Finding</w:t>
            </w:r>
          </w:p>
        </w:tc>
        <w:tc>
          <w:tcPr>
            <w:tcW w:type="pct" w:w="18%"/>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Evidence</w:t>
            </w:r>
          </w:p>
        </w:tc>
      </w:tr>
      <w:tr>
        <w:tc>
          <w:tcPr>
            <w:tcMar>
              <w:top w:type="dxa" w:w="60"/>
              <w:left w:type="dxa" w:w="90"/>
              <w:bottom w:type="dxa" w:w="60"/>
              <w:right w:type="dxa" w:w="90"/>
            </w:tcMar>
            <w:vAlign w:val="center"/>
          </w:tcPr>
          <w:p>
            <w:pPr>
              <w:spacing w:after="20"/>
              <w:jc w:val="left"/>
            </w:pPr>
            <w:r>
              <w:rPr>
                <w:b/>
                <w:bCs/>
                <w:color w:val="D35400"/>
                <w:sz w:val="18"/>
                <w:szCs w:val="18"/>
              </w:rPr>
              <w:t xml:space="preserve">GST-03</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A finalised (issued) invoice can be edited in place — including to a negative value — with no credit/debit note, so a closed period's turnover can change retroactively.</w:t>
            </w:r>
          </w:p>
        </w:tc>
        <w:tc>
          <w:tcPr>
            <w:tcMar>
              <w:top w:type="dxa" w:w="60"/>
              <w:left w:type="dxa" w:w="90"/>
              <w:bottom w:type="dxa" w:w="60"/>
              <w:right w:type="dxa" w:w="90"/>
            </w:tcMar>
            <w:vAlign w:val="center"/>
          </w:tcPr>
          <w:p>
            <w:pPr>
              <w:spacing w:after="20"/>
              <w:jc w:val="left"/>
            </w:pPr>
            <w:r>
              <w:rPr>
                <w:color w:val="1A202C"/>
                <w:sz w:val="18"/>
                <w:szCs w:val="18"/>
              </w:rPr>
              <w:t xml:space="preserve">bills.ts (super-edit / PUT)</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SEC-02</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Accounting vouchers (the ledger records) can be permanently deleted with no reason and no audit, under the same permission that creates them.</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accounting.ts</w:t>
            </w:r>
          </w:p>
        </w:tc>
      </w:tr>
      <w:tr>
        <w:tc>
          <w:tcPr>
            <w:tcMar>
              <w:top w:type="dxa" w:w="60"/>
              <w:left w:type="dxa" w:w="90"/>
              <w:bottom w:type="dxa" w:w="60"/>
              <w:right w:type="dxa" w:w="90"/>
            </w:tcMar>
            <w:vAlign w:val="center"/>
          </w:tcPr>
          <w:p>
            <w:pPr>
              <w:spacing w:after="20"/>
              <w:jc w:val="left"/>
            </w:pPr>
            <w:r>
              <w:rPr>
                <w:b/>
                <w:bCs/>
                <w:color w:val="D35400"/>
                <w:sz w:val="18"/>
                <w:szCs w:val="18"/>
              </w:rPr>
              <w:t xml:space="preserve">SEC-03</w:t>
            </w:r>
          </w:p>
        </w:tc>
        <w:tc>
          <w:tcP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tcMar>
              <w:top w:type="dxa" w:w="60"/>
              <w:left w:type="dxa" w:w="90"/>
              <w:bottom w:type="dxa" w:w="60"/>
              <w:right w:type="dxa" w:w="90"/>
            </w:tcMar>
            <w:vAlign w:val="center"/>
          </w:tcPr>
          <w:p>
            <w:pPr>
              <w:spacing w:after="20"/>
              <w:jc w:val="left"/>
            </w:pPr>
            <w:r>
              <w:rPr>
                <w:color w:val="1A202C"/>
                <w:sz w:val="18"/>
                <w:szCs w:val="18"/>
              </w:rPr>
              <w:t xml:space="preserve">An expense can be created, self-approved and permanently deleted by one user; the delete leaves the posted voucher behind.</w:t>
            </w:r>
          </w:p>
        </w:tc>
        <w:tc>
          <w:tcPr>
            <w:tcMar>
              <w:top w:type="dxa" w:w="60"/>
              <w:left w:type="dxa" w:w="90"/>
              <w:bottom w:type="dxa" w:w="60"/>
              <w:right w:type="dxa" w:w="90"/>
            </w:tcMar>
            <w:vAlign w:val="center"/>
          </w:tcPr>
          <w:p>
            <w:pPr>
              <w:spacing w:after="20"/>
              <w:jc w:val="left"/>
            </w:pPr>
            <w:r>
              <w:rPr>
                <w:color w:val="1A202C"/>
                <w:sz w:val="18"/>
                <w:szCs w:val="18"/>
              </w:rPr>
              <w:t xml:space="preserve">expenses.ts</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SEC-04</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One payment gateway's callback signature does not cover the amount and has no anti-replay token; a replayed/altered callback could be accepted.</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gateway-webhooks.ts</w:t>
            </w:r>
          </w:p>
        </w:tc>
      </w:tr>
      <w:tr>
        <w:tc>
          <w:tcPr>
            <w:tcMar>
              <w:top w:type="dxa" w:w="60"/>
              <w:left w:type="dxa" w:w="90"/>
              <w:bottom w:type="dxa" w:w="60"/>
              <w:right w:type="dxa" w:w="90"/>
            </w:tcMar>
            <w:vAlign w:val="center"/>
          </w:tcPr>
          <w:p>
            <w:pPr>
              <w:spacing w:after="20"/>
              <w:jc w:val="left"/>
            </w:pPr>
            <w:r>
              <w:rPr>
                <w:b/>
                <w:bCs/>
                <w:color w:val="D35400"/>
                <w:sz w:val="18"/>
                <w:szCs w:val="18"/>
              </w:rPr>
              <w:t xml:space="preserve">SEC-05</w:t>
            </w:r>
          </w:p>
        </w:tc>
        <w:tc>
          <w:tcP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tcMar>
              <w:top w:type="dxa" w:w="60"/>
              <w:left w:type="dxa" w:w="90"/>
              <w:bottom w:type="dxa" w:w="60"/>
              <w:right w:type="dxa" w:w="90"/>
            </w:tcMar>
            <w:vAlign w:val="center"/>
          </w:tcPr>
          <w:p>
            <w:pPr>
              <w:spacing w:after="20"/>
              <w:jc w:val="left"/>
            </w:pPr>
            <w:r>
              <w:rPr>
                <w:color w:val="1A202C"/>
                <w:sz w:val="18"/>
                <w:szCs w:val="18"/>
              </w:rPr>
              <w:t xml:space="preserve">Payment-settlement endpoints require only that a user be logged in, not that they hold a finance role.</w:t>
            </w:r>
          </w:p>
        </w:tc>
        <w:tc>
          <w:tcPr>
            <w:tcMar>
              <w:top w:type="dxa" w:w="60"/>
              <w:left w:type="dxa" w:w="90"/>
              <w:bottom w:type="dxa" w:w="60"/>
              <w:right w:type="dxa" w:w="90"/>
            </w:tcMar>
            <w:vAlign w:val="center"/>
          </w:tcPr>
          <w:p>
            <w:pPr>
              <w:spacing w:after="20"/>
              <w:jc w:val="left"/>
            </w:pPr>
            <w:r>
              <w:rPr>
                <w:color w:val="1A202C"/>
                <w:sz w:val="18"/>
                <w:szCs w:val="18"/>
              </w:rPr>
              <w:t xml:space="preserve">gateway-webhooks.ts</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SEC-06</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 public one-time-password endpoint returns the OTP in its own response, defeating the purpose of the OTP.</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public-booking.ts</w:t>
            </w:r>
          </w:p>
        </w:tc>
      </w:tr>
      <w:tr>
        <w:tc>
          <w:tcPr>
            <w:tcMar>
              <w:top w:type="dxa" w:w="60"/>
              <w:left w:type="dxa" w:w="90"/>
              <w:bottom w:type="dxa" w:w="60"/>
              <w:right w:type="dxa" w:w="90"/>
            </w:tcMar>
            <w:vAlign w:val="center"/>
          </w:tcPr>
          <w:p>
            <w:pPr>
              <w:spacing w:after="20"/>
              <w:jc w:val="left"/>
            </w:pPr>
            <w:r>
              <w:rPr>
                <w:b/>
                <w:bCs/>
                <w:color w:val="D35400"/>
                <w:sz w:val="18"/>
                <w:szCs w:val="18"/>
              </w:rPr>
              <w:t xml:space="preserve">SEC-11</w:t>
            </w:r>
          </w:p>
        </w:tc>
        <w:tc>
          <w:tcP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tcMar>
              <w:top w:type="dxa" w:w="60"/>
              <w:left w:type="dxa" w:w="90"/>
              <w:bottom w:type="dxa" w:w="60"/>
              <w:right w:type="dxa" w:w="90"/>
            </w:tcMar>
            <w:vAlign w:val="center"/>
          </w:tcPr>
          <w:p>
            <w:pPr>
              <w:spacing w:after="20"/>
              <w:jc w:val="left"/>
            </w:pPr>
            <w:r>
              <w:rPr>
                <w:color w:val="1A202C"/>
                <w:sz w:val="18"/>
                <w:szCs w:val="18"/>
              </w:rPr>
              <w:t xml:space="preserve">The price of a service can be supplied by the client and is trusted; inline payments are weakly validated (price manipulation risk).</w:t>
            </w:r>
          </w:p>
        </w:tc>
        <w:tc>
          <w:tcPr>
            <w:tcMar>
              <w:top w:type="dxa" w:w="60"/>
              <w:left w:type="dxa" w:w="90"/>
              <w:bottom w:type="dxa" w:w="60"/>
              <w:right w:type="dxa" w:w="90"/>
            </w:tcMar>
            <w:vAlign w:val="center"/>
          </w:tcPr>
          <w:p>
            <w:pPr>
              <w:spacing w:after="20"/>
              <w:jc w:val="left"/>
            </w:pPr>
            <w:r>
              <w:rPr>
                <w:color w:val="1A202C"/>
                <w:sz w:val="18"/>
                <w:szCs w:val="18"/>
              </w:rPr>
              <w:t xml:space="preserve">orders.ts</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RPT-02</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 'sync-billing' routine can post already-recorded payments a second time, on UTC dates and to different accounts.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accounting.ts</w:t>
            </w:r>
          </w:p>
        </w:tc>
      </w:tr>
      <w:tr>
        <w:tc>
          <w:tcPr>
            <w:tcMar>
              <w:top w:type="dxa" w:w="60"/>
              <w:left w:type="dxa" w:w="90"/>
              <w:bottom w:type="dxa" w:w="60"/>
              <w:right w:type="dxa" w:w="90"/>
            </w:tcMar>
            <w:vAlign w:val="center"/>
          </w:tcPr>
          <w:p>
            <w:pPr>
              <w:spacing w:after="20"/>
              <w:jc w:val="left"/>
            </w:pPr>
            <w:r>
              <w:rPr>
                <w:b/>
                <w:bCs/>
                <w:color w:val="D35400"/>
                <w:sz w:val="18"/>
                <w:szCs w:val="18"/>
              </w:rPr>
              <w:t xml:space="preserve">RPT-05</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Expense reports use a back-datable expense date while cash reconciliation uses the created date, so the same expense can fall in two different days.</w:t>
            </w:r>
          </w:p>
        </w:tc>
        <w:tc>
          <w:tcPr>
            <w:tcMar>
              <w:top w:type="dxa" w:w="60"/>
              <w:left w:type="dxa" w:w="90"/>
              <w:bottom w:type="dxa" w:w="60"/>
              <w:right w:type="dxa" w:w="90"/>
            </w:tcMar>
            <w:vAlign w:val="center"/>
          </w:tcPr>
          <w:p>
            <w:pPr>
              <w:spacing w:after="20"/>
              <w:jc w:val="left"/>
            </w:pPr>
            <w:r>
              <w:rPr>
                <w:color w:val="1A202C"/>
                <w:sz w:val="18"/>
                <w:szCs w:val="18"/>
              </w:rPr>
              <w:t xml:space="preserve">advanced-dashboard.ts</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RPT-06</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Two overlapping daily-summary endpoints exist; the legacy one defaults to a UTC day and can error on text account IDs.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reports.ts</w:t>
            </w:r>
          </w:p>
        </w:tc>
      </w:tr>
      <w:tr>
        <w:tc>
          <w:tcPr>
            <w:tcMar>
              <w:top w:type="dxa" w:w="60"/>
              <w:left w:type="dxa" w:w="90"/>
              <w:bottom w:type="dxa" w:w="60"/>
              <w:right w:type="dxa" w:w="90"/>
            </w:tcMar>
            <w:vAlign w:val="center"/>
          </w:tcPr>
          <w:p>
            <w:pPr>
              <w:spacing w:after="20"/>
              <w:jc w:val="left"/>
            </w:pPr>
            <w:r>
              <w:rPr>
                <w:b/>
                <w:bCs/>
                <w:color w:val="D35400"/>
                <w:sz w:val="18"/>
                <w:szCs w:val="18"/>
              </w:rPr>
              <w:t xml:space="preserve">DQ-03</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A bill's cached paid/refund/balance figures have ten independent writers and are never reconciled back to the sum of its payments.</w:t>
            </w:r>
          </w:p>
        </w:tc>
        <w:tc>
          <w:tcP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DQ-04</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There is no global uniqueness on a gateway transaction ID; duplicate receipts can arise across the webhook and manual-reconcile paths.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onlineBookings.ts / payments</w:t>
            </w:r>
          </w:p>
        </w:tc>
      </w:tr>
      <w:tr>
        <w:tc>
          <w:tcPr>
            <w:tcMar>
              <w:top w:type="dxa" w:w="60"/>
              <w:left w:type="dxa" w:w="90"/>
              <w:bottom w:type="dxa" w:w="60"/>
              <w:right w:type="dxa" w:w="90"/>
            </w:tcMar>
            <w:vAlign w:val="center"/>
          </w:tcPr>
          <w:p>
            <w:pPr>
              <w:spacing w:after="20"/>
              <w:jc w:val="left"/>
            </w:pPr>
            <w:r>
              <w:rPr>
                <w:b/>
                <w:bCs/>
                <w:color w:val="D35400"/>
                <w:sz w:val="18"/>
                <w:szCs w:val="18"/>
              </w:rPr>
              <w:t xml:space="preserve">DQ-05</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Editing an expense posts a fresh voucher for the full new amount while leaving the original voucher, double-counting the expense in the ledger.</w:t>
            </w:r>
          </w:p>
        </w:tc>
        <w:tc>
          <w:tcPr>
            <w:tcMar>
              <w:top w:type="dxa" w:w="60"/>
              <w:left w:type="dxa" w:w="90"/>
              <w:bottom w:type="dxa" w:w="60"/>
              <w:right w:type="dxa" w:w="90"/>
            </w:tcMar>
            <w:vAlign w:val="center"/>
          </w:tcPr>
          <w:p>
            <w:pPr>
              <w:spacing w:after="20"/>
              <w:jc w:val="left"/>
            </w:pPr>
            <w:r>
              <w:rPr>
                <w:color w:val="1A202C"/>
                <w:sz w:val="18"/>
                <w:szCs w:val="18"/>
              </w:rPr>
              <w:t xml:space="preserve">expenses.ts</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DQ-06</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view of GST-02) Super-admin bill deletion renumbers live invoices, deletes payments and strands the voucher references.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D35400"/>
                <w:sz w:val="18"/>
                <w:szCs w:val="18"/>
              </w:rPr>
              <w:t xml:space="preserve">DQ-07</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There is no distinct receipt entity; 'one active receipt per payment' cannot be expressed or enforced.</w:t>
            </w:r>
          </w:p>
        </w:tc>
        <w:tc>
          <w:tcP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shd w:fill="EEF2F7" w:color="auto" w:val="clear"/>
            <w:tcMar>
              <w:top w:type="dxa" w:w="60"/>
              <w:left w:type="dxa" w:w="90"/>
              <w:bottom w:type="dxa" w:w="60"/>
              <w:right w:type="dxa" w:w="90"/>
            </w:tcMar>
            <w:vAlign w:val="center"/>
          </w:tcPr>
          <w:p>
            <w:pPr>
              <w:spacing w:after="20"/>
              <w:jc w:val="left"/>
            </w:pPr>
            <w:r>
              <w:rPr>
                <w:b/>
                <w:bCs/>
                <w:color w:val="D35400"/>
                <w:sz w:val="18"/>
                <w:szCs w:val="18"/>
              </w:rPr>
              <w:t xml:space="preserve">DQ-09</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Voucher account references are free text with no link to the accounts table, so a posting can reference a non-existent account.</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accounting.ts</w:t>
            </w:r>
          </w:p>
        </w:tc>
      </w:tr>
    </w:tbl>
    <w:p>
      <w:pPr>
        <w:spacing w:after="60" w:before="160"/>
      </w:pPr>
      <w:r>
        <w:rPr>
          <w:b/>
          <w:bCs/>
          <w:color w:val="2471A3"/>
          <w:sz w:val="22"/>
          <w:szCs w:val="22"/>
        </w:rPr>
        <w:t xml:space="preserve">P2 — Medium  (28)</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11"/>
        <w:gridCol w:w="20"/>
        <w:gridCol w:w="51"/>
        <w:gridCol w:w="18"/>
      </w:tblGrid>
      <w:tr>
        <w:tc>
          <w:tcPr>
            <w:tcW w:type="pct" w:w="1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ID</w:t>
            </w:r>
          </w:p>
        </w:tc>
        <w:tc>
          <w:tcPr>
            <w:tcW w:type="pct" w:w="20%"/>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Area</w:t>
            </w:r>
          </w:p>
        </w:tc>
        <w:tc>
          <w:tcPr>
            <w:tcW w:type="pct" w:w="5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Finding</w:t>
            </w:r>
          </w:p>
        </w:tc>
        <w:tc>
          <w:tcPr>
            <w:tcW w:type="pct" w:w="18%"/>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Evidence</w:t>
            </w:r>
          </w:p>
        </w:tc>
      </w:tr>
      <w:tr>
        <w:tc>
          <w:tcPr>
            <w:tcMar>
              <w:top w:type="dxa" w:w="60"/>
              <w:left w:type="dxa" w:w="90"/>
              <w:bottom w:type="dxa" w:w="60"/>
              <w:right w:type="dxa" w:w="90"/>
            </w:tcMar>
            <w:vAlign w:val="center"/>
          </w:tcPr>
          <w:p>
            <w:pPr>
              <w:spacing w:after="20"/>
              <w:jc w:val="left"/>
            </w:pPr>
            <w:r>
              <w:rPr>
                <w:b/>
                <w:bCs/>
                <w:color w:val="2471A3"/>
                <w:sz w:val="18"/>
                <w:szCs w:val="18"/>
              </w:rPr>
              <w:t xml:space="preserve">GST-01</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No tax is computed anywhere — the tax amount is fixed at zero at bill creation, with no rate configuration or exemption model.</w:t>
            </w:r>
          </w:p>
        </w:tc>
        <w:tc>
          <w:tcP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GST-04</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There are no credit-note / debit-note documents; refunds are negative payment rows and cancellations only flip a status.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GST-05</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No HSN/SAC codes, per-line taxable value, CGST/SGST/IGST split, place of supply or recipient GSTIN exist in the data model.</w:t>
            </w:r>
          </w:p>
        </w:tc>
        <w:tc>
          <w:tcPr>
            <w:tcMar>
              <w:top w:type="dxa" w:w="60"/>
              <w:left w:type="dxa" w:w="90"/>
              <w:bottom w:type="dxa" w:w="60"/>
              <w:right w:type="dxa" w:w="90"/>
            </w:tcMar>
            <w:vAlign w:val="center"/>
          </w:tcPr>
          <w:p>
            <w:pPr>
              <w:spacing w:after="20"/>
              <w:jc w:val="left"/>
            </w:pPr>
            <w:r>
              <w:rPr>
                <w:color w:val="1A202C"/>
                <w:sz w:val="18"/>
                <w:szCs w:val="18"/>
              </w:rPr>
              <w:t xml:space="preserve">tests.ts / bills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GST-07</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GSTIN fields accept any string with no format or checksum validation, and print onto invoices as entered.</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clinicSettings.ts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GST-08</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Bills carry no branch linkage, so a two-entity group cannot issue under the correct registration; all invoices print one GSTIN.</w:t>
            </w:r>
          </w:p>
        </w:tc>
        <w:tc>
          <w:tcPr>
            <w:tcMar>
              <w:top w:type="dxa" w:w="60"/>
              <w:left w:type="dxa" w:w="90"/>
              <w:bottom w:type="dxa" w:w="60"/>
              <w:right w:type="dxa" w:w="90"/>
            </w:tcMar>
            <w:vAlign w:val="center"/>
          </w:tcPr>
          <w:p>
            <w:pPr>
              <w:spacing w:after="20"/>
              <w:jc w:val="left"/>
            </w:pPr>
            <w:r>
              <w:rPr>
                <w:color w:val="1A202C"/>
                <w:sz w:val="18"/>
                <w:szCs w:val="18"/>
              </w:rPr>
              <w:t xml:space="preserve">branches.ts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GST-09</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invoice-series month prefix is derived in UTC; bills between midnight and 05:30 IST land in the previous month's series.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GST-10</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No GST return / reproducible tax register exists; the Tally export carries no tax data and hardcodes a 'Regular' registration type.</w:t>
            </w:r>
          </w:p>
        </w:tc>
        <w:tc>
          <w:tcPr>
            <w:tcMar>
              <w:top w:type="dxa" w:w="60"/>
              <w:left w:type="dxa" w:w="90"/>
              <w:bottom w:type="dxa" w:w="60"/>
              <w:right w:type="dxa" w:w="90"/>
            </w:tcMar>
            <w:vAlign w:val="center"/>
          </w:tcPr>
          <w:p>
            <w:pPr>
              <w:spacing w:after="20"/>
              <w:jc w:val="left"/>
            </w:pPr>
            <w:r>
              <w:rPr>
                <w:color w:val="1A202C"/>
                <w:sz w:val="18"/>
                <w:szCs w:val="18"/>
              </w:rPr>
              <w:t xml:space="preserve">accounting.ts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SEC-07</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actor recorded against a financial change is taken from the request body, so audit attribution is spoofable.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SEC-08</w:t>
            </w:r>
          </w:p>
        </w:tc>
        <w:tc>
          <w:tcP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tcMar>
              <w:top w:type="dxa" w:w="60"/>
              <w:left w:type="dxa" w:w="90"/>
              <w:bottom w:type="dxa" w:w="60"/>
              <w:right w:type="dxa" w:w="90"/>
            </w:tcMar>
            <w:vAlign w:val="center"/>
          </w:tcPr>
          <w:p>
            <w:pPr>
              <w:spacing w:after="20"/>
              <w:jc w:val="left"/>
            </w:pPr>
            <w:r>
              <w:rPr>
                <w:color w:val="1A202C"/>
                <w:sz w:val="18"/>
                <w:szCs w:val="18"/>
              </w:rPr>
              <w:t xml:space="preserve">A 'ledger reset' can hard-delete payments, bills, orders, patients and the audit table itself, with no immutable record.</w:t>
            </w:r>
          </w:p>
        </w:tc>
        <w:tc>
          <w:tcPr>
            <w:tcMar>
              <w:top w:type="dxa" w:w="60"/>
              <w:left w:type="dxa" w:w="90"/>
              <w:bottom w:type="dxa" w:w="60"/>
              <w:right w:type="dxa" w:w="90"/>
            </w:tcMar>
            <w:vAlign w:val="center"/>
          </w:tcPr>
          <w:p>
            <w:pPr>
              <w:spacing w:after="20"/>
              <w:jc w:val="left"/>
            </w:pPr>
            <w:r>
              <w:rPr>
                <w:color w:val="1A202C"/>
                <w:sz w:val="18"/>
                <w:szCs w:val="18"/>
              </w:rPr>
              <w:t xml:space="preserve">ledgers.ts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SEC-09</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Super-admin bill operations authenticate via a token in the request body rather than a re-checked role.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SEC-10</w:t>
            </w:r>
          </w:p>
        </w:tc>
        <w:tc>
          <w:tcP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tcMar>
              <w:top w:type="dxa" w:w="60"/>
              <w:left w:type="dxa" w:w="90"/>
              <w:bottom w:type="dxa" w:w="60"/>
              <w:right w:type="dxa" w:w="90"/>
            </w:tcMar>
            <w:vAlign w:val="center"/>
          </w:tcPr>
          <w:p>
            <w:pPr>
              <w:spacing w:after="20"/>
              <w:jc w:val="left"/>
            </w:pPr>
            <w:r>
              <w:rPr>
                <w:color w:val="1A202C"/>
                <w:sz w:val="18"/>
                <w:szCs w:val="18"/>
              </w:rPr>
              <w:t xml:space="preserve">Webhooks reply HTTP 200 before processing (and on signature rejection), so the gateway never retries and a genuine payment can be dropped.</w:t>
            </w:r>
          </w:p>
        </w:tc>
        <w:tc>
          <w:tcPr>
            <w:tcMar>
              <w:top w:type="dxa" w:w="60"/>
              <w:left w:type="dxa" w:w="90"/>
              <w:bottom w:type="dxa" w:w="60"/>
              <w:right w:type="dxa" w:w="90"/>
            </w:tcMar>
            <w:vAlign w:val="center"/>
          </w:tcPr>
          <w:p>
            <w:pPr>
              <w:spacing w:after="20"/>
              <w:jc w:val="left"/>
            </w:pPr>
            <w:r>
              <w:rPr>
                <w:color w:val="1A202C"/>
                <w:sz w:val="18"/>
                <w:szCs w:val="18"/>
              </w:rPr>
              <w:t xml:space="preserve">gateway-webhooks.ts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RPT-03</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Daily net-collection/physical-cash figures double-subtract cancellations, mix date bases and drop cash received against old dues.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daily-summary.ts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RPT-04</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The owner dashboard's hard-coded payment-method list omits gateway and insurance money from the cash/digital split.</w:t>
            </w:r>
          </w:p>
        </w:tc>
        <w:tc>
          <w:tcPr>
            <w:tcMar>
              <w:top w:type="dxa" w:w="60"/>
              <w:left w:type="dxa" w:w="90"/>
              <w:bottom w:type="dxa" w:w="60"/>
              <w:right w:type="dxa" w:w="90"/>
            </w:tcMar>
            <w:vAlign w:val="center"/>
          </w:tcPr>
          <w:p>
            <w:pPr>
              <w:spacing w:after="20"/>
              <w:jc w:val="left"/>
            </w:pPr>
            <w:r>
              <w:rPr>
                <w:color w:val="1A202C"/>
                <w:sz w:val="18"/>
                <w:szCs w:val="18"/>
              </w:rPr>
              <w:t xml:space="preserve">advanced-dashboard.ts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RPT-07</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Revenue, income/expense and payment-method reports aggregate on UTC calendar days, not IST.</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RPT-08</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Historical daily reports are recomputed from live, editable data; cancellations are booked to the creation day.</w:t>
            </w:r>
          </w:p>
        </w:tc>
        <w:tc>
          <w:tcPr>
            <w:tcMar>
              <w:top w:type="dxa" w:w="60"/>
              <w:left w:type="dxa" w:w="90"/>
              <w:bottom w:type="dxa" w:w="60"/>
              <w:right w:type="dxa" w:w="90"/>
            </w:tcMar>
            <w:vAlign w:val="center"/>
          </w:tcPr>
          <w:p>
            <w:pPr>
              <w:spacing w:after="20"/>
              <w:jc w:val="left"/>
            </w:pPr>
            <w:r>
              <w:rPr>
                <w:color w:val="1A202C"/>
                <w:sz w:val="18"/>
                <w:szCs w:val="18"/>
              </w:rPr>
              <w:t xml:space="preserve">daily-summary.ts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RPT-10</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Gateway payments are dated at the moment the webhook is processed; the gateway's own timestamp is not stored.</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gateway-webhooks.ts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RPT-12</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Two doctor-commission engines disagree on cancelled tests and use UTC windows.</w:t>
            </w:r>
          </w:p>
        </w:tc>
        <w:tc>
          <w:tcPr>
            <w:tcMar>
              <w:top w:type="dxa" w:w="60"/>
              <w:left w:type="dxa" w:w="90"/>
              <w:bottom w:type="dxa" w:w="60"/>
              <w:right w:type="dxa" w:w="90"/>
            </w:tcMar>
            <w:vAlign w:val="center"/>
          </w:tcPr>
          <w:p>
            <w:pPr>
              <w:spacing w:after="20"/>
              <w:jc w:val="left"/>
            </w:pPr>
            <w:r>
              <w:rPr>
                <w:color w:val="1A202C"/>
                <w:sz w:val="18"/>
                <w:szCs w:val="18"/>
              </w:rPr>
              <w:t xml:space="preserve">doctor-ledger.ts (quarantined)</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RPT-13</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'popular tests' revenue figure includes cancelled bills/tests and has no date bounds.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RPT-14</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The ranged trial balance/ledger ignores movement before the range, so its 'balanced' flag is close to tautological.</w:t>
            </w:r>
          </w:p>
        </w:tc>
        <w:tc>
          <w:tcPr>
            <w:tcMar>
              <w:top w:type="dxa" w:w="60"/>
              <w:left w:type="dxa" w:w="90"/>
              <w:bottom w:type="dxa" w:w="60"/>
              <w:right w:type="dxa" w:w="90"/>
            </w:tcMar>
            <w:vAlign w:val="center"/>
          </w:tcPr>
          <w:p>
            <w:pPr>
              <w:spacing w:after="20"/>
              <w:jc w:val="left"/>
            </w:pPr>
            <w:r>
              <w:rPr>
                <w:color w:val="1A202C"/>
                <w:sz w:val="18"/>
                <w:szCs w:val="18"/>
              </w:rPr>
              <w:t xml:space="preserve">accounting.ts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RPT-15</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There is no payments-to-vouchers reconciliation; because posting is best-effort, the P&amp;L can silently understate.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books-sanity.ts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RPT-19</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Cashier attribution is by free-text name; a payment reference number can be mistaken for a 'user'.</w:t>
            </w:r>
          </w:p>
        </w:tc>
        <w:tc>
          <w:tcPr>
            <w:tcMar>
              <w:top w:type="dxa" w:w="60"/>
              <w:left w:type="dxa" w:w="90"/>
              <w:bottom w:type="dxa" w:w="60"/>
              <w:right w:type="dxa" w:w="90"/>
            </w:tcMar>
            <w:vAlign w:val="center"/>
          </w:tcPr>
          <w:p>
            <w:pPr>
              <w:spacing w:after="20"/>
              <w:jc w:val="left"/>
            </w:pPr>
            <w:r>
              <w:rPr>
                <w:color w:val="1A202C"/>
                <w:sz w:val="18"/>
                <w:szCs w:val="18"/>
              </w:rPr>
              <w:t xml:space="preserve">reports.ts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DQ-08</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single-row voucher design cannot represent an unbalanced or multi-line journal, so ledger-line checks are not expressible.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accounting.ts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DQ-10</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Financial dates (voucher date, expense date, bill due date) are stored as text, not date types.</w:t>
            </w:r>
          </w:p>
        </w:tc>
        <w:tc>
          <w:tcPr>
            <w:tcMar>
              <w:top w:type="dxa" w:w="60"/>
              <w:left w:type="dxa" w:w="90"/>
              <w:bottom w:type="dxa" w:w="60"/>
              <w:right w:type="dxa" w:w="90"/>
            </w:tcMar>
            <w:vAlign w:val="center"/>
          </w:tcPr>
          <w:p>
            <w:pPr>
              <w:spacing w:after="20"/>
              <w:jc w:val="left"/>
            </w:pPr>
            <w:r>
              <w:rPr>
                <w:color w:val="1A202C"/>
                <w:sz w:val="18"/>
                <w:szCs w:val="18"/>
              </w:rPr>
              <w:t xml:space="preserve">accounting.ts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DQ-11</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Financial actor attribution is unverifiable free text, including some hardcoded actor names.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DQ-12</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A day-close cannot be tied to the exact set of payments it certified, so back-dated entries are undetectable.</w:t>
            </w:r>
          </w:p>
        </w:tc>
        <w:tc>
          <w:tcPr>
            <w:tcMar>
              <w:top w:type="dxa" w:w="60"/>
              <w:left w:type="dxa" w:w="90"/>
              <w:bottom w:type="dxa" w:w="60"/>
              <w:right w:type="dxa" w:w="90"/>
            </w:tcMar>
            <w:vAlign w:val="center"/>
          </w:tcPr>
          <w:p>
            <w:pPr>
              <w:spacing w:after="20"/>
              <w:jc w:val="left"/>
            </w:pPr>
            <w:r>
              <w:rPr>
                <w:color w:val="1A202C"/>
                <w:sz w:val="18"/>
                <w:szCs w:val="18"/>
              </w:rPr>
              <w:t xml:space="preserve">dayClosures.ts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DQ-13</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audit-log hash chain admits un-hashed rows by default, weakening tamper-evidence.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auditLogs.ts</w:t>
            </w:r>
          </w:p>
        </w:tc>
      </w:tr>
      <w:tr>
        <w:tc>
          <w:tcPr>
            <w:tcMar>
              <w:top w:type="dxa" w:w="60"/>
              <w:left w:type="dxa" w:w="90"/>
              <w:bottom w:type="dxa" w:w="60"/>
              <w:right w:type="dxa" w:w="90"/>
            </w:tcMar>
            <w:vAlign w:val="center"/>
          </w:tcPr>
          <w:p>
            <w:pPr>
              <w:spacing w:after="20"/>
              <w:jc w:val="left"/>
            </w:pPr>
            <w:r>
              <w:rPr>
                <w:b/>
                <w:bCs/>
                <w:color w:val="2471A3"/>
                <w:sz w:val="18"/>
                <w:szCs w:val="18"/>
              </w:rPr>
              <w:t xml:space="preserve">DQ-14</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The tax amount is fixed at zero with no line-level data that could support any non-zero value.</w:t>
            </w:r>
          </w:p>
        </w:tc>
        <w:tc>
          <w:tcP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shd w:fill="EEF2F7" w:color="auto" w:val="clear"/>
            <w:tcMar>
              <w:top w:type="dxa" w:w="60"/>
              <w:left w:type="dxa" w:w="90"/>
              <w:bottom w:type="dxa" w:w="60"/>
              <w:right w:type="dxa" w:w="90"/>
            </w:tcMar>
            <w:vAlign w:val="center"/>
          </w:tcPr>
          <w:p>
            <w:pPr>
              <w:spacing w:after="20"/>
              <w:jc w:val="left"/>
            </w:pPr>
            <w:r>
              <w:rPr>
                <w:b/>
                <w:bCs/>
                <w:color w:val="2471A3"/>
                <w:sz w:val="18"/>
                <w:szCs w:val="18"/>
              </w:rPr>
              <w:t xml:space="preserve">DQ-15</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Expenses carry no verified user identity and approval is optional free text.</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expenses.ts</w:t>
            </w:r>
          </w:p>
        </w:tc>
      </w:tr>
    </w:tbl>
    <w:p>
      <w:pPr>
        <w:spacing w:after="60" w:before="160"/>
      </w:pPr>
      <w:r>
        <w:rPr>
          <w:b/>
          <w:bCs/>
          <w:color w:val="566573"/>
          <w:sz w:val="22"/>
          <w:szCs w:val="22"/>
        </w:rPr>
        <w:t xml:space="preserve">P3 — Low  (13)</w:t>
      </w:r>
    </w:p>
    <w:tbl>
      <w:tblPr>
        <w:tblW w:type="pct" w:w="100%"/>
        <w:tblBorders>
          <w:top w:val="single" w:color="CBD5E0" w:sz="2"/>
          <w:left w:val="single" w:color="CBD5E0" w:sz="2"/>
          <w:bottom w:val="single" w:color="CBD5E0" w:sz="2"/>
          <w:right w:val="single" w:color="CBD5E0" w:sz="2"/>
          <w:insideH w:val="single" w:color="CBD5E0" w:sz="2"/>
          <w:insideV w:val="single" w:color="CBD5E0" w:sz="2"/>
        </w:tblBorders>
      </w:tblPr>
      <w:tblGrid>
        <w:gridCol w:w="11"/>
        <w:gridCol w:w="20"/>
        <w:gridCol w:w="51"/>
        <w:gridCol w:w="18"/>
      </w:tblGrid>
      <w:tr>
        <w:tc>
          <w:tcPr>
            <w:tcW w:type="pct" w:w="1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ID</w:t>
            </w:r>
          </w:p>
        </w:tc>
        <w:tc>
          <w:tcPr>
            <w:tcW w:type="pct" w:w="20%"/>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Area</w:t>
            </w:r>
          </w:p>
        </w:tc>
        <w:tc>
          <w:tcPr>
            <w:tcW w:type="pct" w:w="51%"/>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Finding</w:t>
            </w:r>
          </w:p>
        </w:tc>
        <w:tc>
          <w:tcPr>
            <w:tcW w:type="pct" w:w="18%"/>
            <w:shd w:fill="1F3A5F" w:color="auto" w:val="clear"/>
            <w:tcMar>
              <w:top w:type="dxa" w:w="60"/>
              <w:left w:type="dxa" w:w="90"/>
              <w:bottom w:type="dxa" w:w="60"/>
              <w:right w:type="dxa" w:w="90"/>
            </w:tcMar>
            <w:vAlign w:val="center"/>
          </w:tcPr>
          <w:p>
            <w:pPr>
              <w:spacing w:after="20"/>
              <w:jc w:val="left"/>
            </w:pPr>
            <w:r>
              <w:rPr>
                <w:b/>
                <w:bCs/>
                <w:color w:val="FFFFFF"/>
                <w:sz w:val="18"/>
                <w:szCs w:val="18"/>
              </w:rPr>
              <w:t xml:space="preserve">Evidence</w:t>
            </w:r>
          </w:p>
        </w:tc>
      </w:tr>
      <w:tr>
        <w:tc>
          <w:tcPr>
            <w:tcMar>
              <w:top w:type="dxa" w:w="60"/>
              <w:left w:type="dxa" w:w="90"/>
              <w:bottom w:type="dxa" w:w="60"/>
              <w:right w:type="dxa" w:w="90"/>
            </w:tcMar>
            <w:vAlign w:val="center"/>
          </w:tcPr>
          <w:p>
            <w:pPr>
              <w:spacing w:after="20"/>
              <w:jc w:val="left"/>
            </w:pPr>
            <w:r>
              <w:rPr>
                <w:b/>
                <w:bCs/>
                <w:color w:val="566573"/>
                <w:sz w:val="18"/>
                <w:szCs w:val="18"/>
              </w:rPr>
              <w:t xml:space="preserve">GST-06</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A zero-tax document is printed with the title 'Tax Invoice'; no Bill-of-Supply or exemption declaration appears on any template.</w:t>
            </w:r>
          </w:p>
        </w:tc>
        <w:tc>
          <w:tcPr>
            <w:tcMar>
              <w:top w:type="dxa" w:w="60"/>
              <w:left w:type="dxa" w:w="90"/>
              <w:bottom w:type="dxa" w:w="60"/>
              <w:right w:type="dxa" w:w="90"/>
            </w:tcMar>
            <w:vAlign w:val="center"/>
          </w:tcPr>
          <w:p>
            <w:pPr>
              <w:spacing w:after="20"/>
              <w:jc w:val="left"/>
            </w:pPr>
            <w:r>
              <w:rPr>
                <w:color w:val="1A202C"/>
                <w:sz w:val="18"/>
                <w:szCs w:val="18"/>
              </w:rPr>
              <w:t xml:space="preserve">designerBillPrint.ts</w:t>
            </w:r>
          </w:p>
        </w:tc>
      </w:tr>
      <w:tr>
        <w:tc>
          <w:tcPr>
            <w:shd w:fill="EEF2F7" w:color="auto" w:val="clear"/>
            <w:tcMar>
              <w:top w:type="dxa" w:w="60"/>
              <w:left w:type="dxa" w:w="90"/>
              <w:bottom w:type="dxa" w:w="60"/>
              <w:right w:type="dxa" w:w="90"/>
            </w:tcMar>
            <w:vAlign w:val="center"/>
          </w:tcPr>
          <w:p>
            <w:pPr>
              <w:spacing w:after="20"/>
              <w:jc w:val="left"/>
            </w:pPr>
            <w:r>
              <w:rPr>
                <w:b/>
                <w:bCs/>
                <w:color w:val="566573"/>
                <w:sz w:val="18"/>
                <w:szCs w:val="18"/>
              </w:rPr>
              <w:t xml:space="preserve">GST-11</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Purchase-side GST / input credit / reverse charge is entirely unmodeled; expenses and vendor invoices record TDS only.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expenses.ts</w:t>
            </w:r>
          </w:p>
        </w:tc>
      </w:tr>
      <w:tr>
        <w:tc>
          <w:tcPr>
            <w:tcMar>
              <w:top w:type="dxa" w:w="60"/>
              <w:left w:type="dxa" w:w="90"/>
              <w:bottom w:type="dxa" w:w="60"/>
              <w:right w:type="dxa" w:w="90"/>
            </w:tcMar>
            <w:vAlign w:val="center"/>
          </w:tcPr>
          <w:p>
            <w:pPr>
              <w:spacing w:after="20"/>
              <w:jc w:val="left"/>
            </w:pPr>
            <w:r>
              <w:rPr>
                <w:b/>
                <w:bCs/>
                <w:color w:val="566573"/>
                <w:sz w:val="18"/>
                <w:szCs w:val="18"/>
              </w:rPr>
              <w:t xml:space="preserve">GST-12</w:t>
            </w:r>
          </w:p>
        </w:tc>
        <w:tc>
          <w:tcP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tcMar>
              <w:top w:type="dxa" w:w="60"/>
              <w:left w:type="dxa" w:w="90"/>
              <w:bottom w:type="dxa" w:w="60"/>
              <w:right w:type="dxa" w:w="90"/>
            </w:tcMar>
            <w:vAlign w:val="center"/>
          </w:tcPr>
          <w:p>
            <w:pPr>
              <w:spacing w:after="20"/>
              <w:jc w:val="left"/>
            </w:pPr>
            <w:r>
              <w:rPr>
                <w:color w:val="1A202C"/>
                <w:sz w:val="18"/>
                <w:szCs w:val="18"/>
              </w:rPr>
              <w:t xml:space="preserve">(Overlaps DQ-02) The reconcile script omits the unique bill-number constraint and all value checks.</w:t>
            </w:r>
          </w:p>
        </w:tc>
        <w:tc>
          <w:tcPr>
            <w:tcMar>
              <w:top w:type="dxa" w:w="60"/>
              <w:left w:type="dxa" w:w="90"/>
              <w:bottom w:type="dxa" w:w="60"/>
              <w:right w:type="dxa" w:w="90"/>
            </w:tcMar>
            <w:vAlign w:val="center"/>
          </w:tcPr>
          <w:p>
            <w:pPr>
              <w:spacing w:after="20"/>
              <w:jc w:val="left"/>
            </w:pPr>
            <w:r>
              <w:rPr>
                <w:color w:val="1A202C"/>
                <w:sz w:val="18"/>
                <w:szCs w:val="18"/>
              </w:rPr>
              <w:t xml:space="preserve">zz_schema_reconcile_20260709.sql</w:t>
            </w:r>
          </w:p>
        </w:tc>
      </w:tr>
      <w:tr>
        <w:tc>
          <w:tcPr>
            <w:shd w:fill="EEF2F7" w:color="auto" w:val="clear"/>
            <w:tcMar>
              <w:top w:type="dxa" w:w="60"/>
              <w:left w:type="dxa" w:w="90"/>
              <w:bottom w:type="dxa" w:w="60"/>
              <w:right w:type="dxa" w:w="90"/>
            </w:tcMar>
            <w:vAlign w:val="center"/>
          </w:tcPr>
          <w:p>
            <w:pPr>
              <w:spacing w:after="20"/>
              <w:jc w:val="left"/>
            </w:pPr>
            <w:r>
              <w:rPr>
                <w:b/>
                <w:bCs/>
                <w:color w:val="566573"/>
                <w:sz w:val="18"/>
                <w:szCs w:val="18"/>
              </w:rPr>
              <w:t xml:space="preserve">GST-13</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GST &amp; Invoicing</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invoice series has no financial-year identity and no separate series per document type.</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566573"/>
                <w:sz w:val="18"/>
                <w:szCs w:val="18"/>
              </w:rPr>
              <w:t xml:space="preserve">SEC-12</w:t>
            </w:r>
          </w:p>
        </w:tc>
        <w:tc>
          <w:tcPr>
            <w:tcMar>
              <w:top w:type="dxa" w:w="60"/>
              <w:left w:type="dxa" w:w="90"/>
              <w:bottom w:type="dxa" w:w="60"/>
              <w:right w:type="dxa" w:w="90"/>
            </w:tcMar>
            <w:vAlign w:val="center"/>
          </w:tcPr>
          <w:p>
            <w:pPr>
              <w:spacing w:after="20"/>
              <w:jc w:val="left"/>
            </w:pPr>
            <w:r>
              <w:rPr>
                <w:color w:val="1A202C"/>
                <w:sz w:val="18"/>
                <w:szCs w:val="18"/>
              </w:rPr>
              <w:t xml:space="preserve">Security &amp; Controls</w:t>
            </w:r>
          </w:p>
        </w:tc>
        <w:tc>
          <w:tcPr>
            <w:tcMar>
              <w:top w:type="dxa" w:w="60"/>
              <w:left w:type="dxa" w:w="90"/>
              <w:bottom w:type="dxa" w:w="60"/>
              <w:right w:type="dxa" w:w="90"/>
            </w:tcMar>
            <w:vAlign w:val="center"/>
          </w:tcPr>
          <w:p>
            <w:pPr>
              <w:spacing w:after="20"/>
              <w:jc w:val="left"/>
            </w:pPr>
            <w:r>
              <w:rPr>
                <w:color w:val="1A202C"/>
                <w:sz w:val="18"/>
                <w:szCs w:val="18"/>
              </w:rPr>
              <w:t xml:space="preserve">Audit rows lack user ID, IP, device and a chain hash.</w:t>
            </w:r>
          </w:p>
        </w:tc>
        <w:tc>
          <w:tcPr>
            <w:tcMar>
              <w:top w:type="dxa" w:w="60"/>
              <w:left w:type="dxa" w:w="90"/>
              <w:bottom w:type="dxa" w:w="60"/>
              <w:right w:type="dxa" w:w="90"/>
            </w:tcMar>
            <w:vAlign w:val="center"/>
          </w:tcPr>
          <w:p>
            <w:pPr>
              <w:spacing w:after="20"/>
              <w:jc w:val="left"/>
            </w:pPr>
            <w:r>
              <w:rPr>
                <w:color w:val="1A202C"/>
                <w:sz w:val="18"/>
                <w:szCs w:val="18"/>
              </w:rPr>
              <w:t xml:space="preserve">users.ts</w:t>
            </w:r>
          </w:p>
        </w:tc>
      </w:tr>
      <w:tr>
        <w:tc>
          <w:tcPr>
            <w:shd w:fill="EEF2F7" w:color="auto" w:val="clear"/>
            <w:tcMar>
              <w:top w:type="dxa" w:w="60"/>
              <w:left w:type="dxa" w:w="90"/>
              <w:bottom w:type="dxa" w:w="60"/>
              <w:right w:type="dxa" w:w="90"/>
            </w:tcMar>
            <w:vAlign w:val="center"/>
          </w:tcPr>
          <w:p>
            <w:pPr>
              <w:spacing w:after="20"/>
              <w:jc w:val="left"/>
            </w:pPr>
            <w:r>
              <w:rPr>
                <w:b/>
                <w:bCs/>
                <w:color w:val="566573"/>
                <w:sz w:val="18"/>
                <w:szCs w:val="18"/>
              </w:rPr>
              <w:t xml:space="preserve">RPT-09</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'day close' is a rolling time window with a point-in-time label, not comparable to a calendar-day report.</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day-close.ts</w:t>
            </w:r>
          </w:p>
        </w:tc>
      </w:tr>
      <w:tr>
        <w:tc>
          <w:tcPr>
            <w:tcMar>
              <w:top w:type="dxa" w:w="60"/>
              <w:left w:type="dxa" w:w="90"/>
              <w:bottom w:type="dxa" w:w="60"/>
              <w:right w:type="dxa" w:w="90"/>
            </w:tcMar>
            <w:vAlign w:val="center"/>
          </w:tcPr>
          <w:p>
            <w:pPr>
              <w:spacing w:after="20"/>
              <w:jc w:val="left"/>
            </w:pPr>
            <w:r>
              <w:rPr>
                <w:b/>
                <w:bCs/>
                <w:color w:val="566573"/>
                <w:sz w:val="18"/>
                <w:szCs w:val="18"/>
              </w:rPr>
              <w:t xml:space="preserve">RPT-11</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A dashboard 'referral payouts' figure is actually the all-time gross value of doctor-referred orders.</w:t>
            </w:r>
          </w:p>
        </w:tc>
        <w:tc>
          <w:tcPr>
            <w:tcMar>
              <w:top w:type="dxa" w:w="60"/>
              <w:left w:type="dxa" w:w="90"/>
              <w:bottom w:type="dxa" w:w="60"/>
              <w:right w:type="dxa" w:w="90"/>
            </w:tcMar>
            <w:vAlign w:val="center"/>
          </w:tcPr>
          <w:p>
            <w:pPr>
              <w:spacing w:after="20"/>
              <w:jc w:val="left"/>
            </w:pPr>
            <w:r>
              <w:rPr>
                <w:color w:val="1A202C"/>
                <w:sz w:val="18"/>
                <w:szCs w:val="18"/>
              </w:rPr>
              <w:t xml:space="preserve">reports.ts</w:t>
            </w:r>
          </w:p>
        </w:tc>
      </w:tr>
      <w:tr>
        <w:tc>
          <w:tcPr>
            <w:shd w:fill="EEF2F7" w:color="auto" w:val="clear"/>
            <w:tcMar>
              <w:top w:type="dxa" w:w="60"/>
              <w:left w:type="dxa" w:w="90"/>
              <w:bottom w:type="dxa" w:w="60"/>
              <w:right w:type="dxa" w:w="90"/>
            </w:tcMar>
            <w:vAlign w:val="center"/>
          </w:tcPr>
          <w:p>
            <w:pPr>
              <w:spacing w:after="20"/>
              <w:jc w:val="left"/>
            </w:pPr>
            <w:r>
              <w:rPr>
                <w:b/>
                <w:bCs/>
                <w:color w:val="566573"/>
                <w:sz w:val="18"/>
                <w:szCs w:val="18"/>
              </w:rPr>
              <w:t xml:space="preserve">RPT-16</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 books-sanity date window uses UTC date casts, shifted 5.5 hours from the IST reports.</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books-sanity.ts</w:t>
            </w:r>
          </w:p>
        </w:tc>
      </w:tr>
      <w:tr>
        <w:tc>
          <w:tcPr>
            <w:tcMar>
              <w:top w:type="dxa" w:w="60"/>
              <w:left w:type="dxa" w:w="90"/>
              <w:bottom w:type="dxa" w:w="60"/>
              <w:right w:type="dxa" w:w="90"/>
            </w:tcMar>
            <w:vAlign w:val="center"/>
          </w:tcPr>
          <w:p>
            <w:pPr>
              <w:spacing w:after="20"/>
              <w:jc w:val="left"/>
            </w:pPr>
            <w:r>
              <w:rPr>
                <w:b/>
                <w:bCs/>
                <w:color w:val="566573"/>
                <w:sz w:val="18"/>
                <w:szCs w:val="18"/>
              </w:rPr>
              <w:t xml:space="preserve">RPT-17</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Voucher/expense number series are bucketed by the UTC clock while the documents are dated in IST.</w:t>
            </w:r>
          </w:p>
        </w:tc>
        <w:tc>
          <w:tcPr>
            <w:tcMar>
              <w:top w:type="dxa" w:w="60"/>
              <w:left w:type="dxa" w:w="90"/>
              <w:bottom w:type="dxa" w:w="60"/>
              <w:right w:type="dxa" w:w="90"/>
            </w:tcMar>
            <w:vAlign w:val="center"/>
          </w:tcPr>
          <w:p>
            <w:pPr>
              <w:spacing w:after="20"/>
              <w:jc w:val="left"/>
            </w:pPr>
            <w:r>
              <w:rPr>
                <w:color w:val="1A202C"/>
                <w:sz w:val="18"/>
                <w:szCs w:val="18"/>
              </w:rPr>
              <w:t xml:space="preserve">auto-voucher.ts</w:t>
            </w:r>
          </w:p>
        </w:tc>
      </w:tr>
      <w:tr>
        <w:tc>
          <w:tcPr>
            <w:shd w:fill="EEF2F7" w:color="auto" w:val="clear"/>
            <w:tcMar>
              <w:top w:type="dxa" w:w="60"/>
              <w:left w:type="dxa" w:w="90"/>
              <w:bottom w:type="dxa" w:w="60"/>
              <w:right w:type="dxa" w:w="90"/>
            </w:tcMar>
            <w:vAlign w:val="center"/>
          </w:tcPr>
          <w:p>
            <w:pPr>
              <w:spacing w:after="20"/>
              <w:jc w:val="left"/>
            </w:pPr>
            <w:r>
              <w:rPr>
                <w:b/>
                <w:bCs/>
                <w:color w:val="566573"/>
                <w:sz w:val="18"/>
                <w:szCs w:val="18"/>
              </w:rPr>
              <w:t xml:space="preserve">RPT-18</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There is no financial-year concept — no year series, year-end close or 1-April boundary handling.</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accounting.ts</w:t>
            </w:r>
          </w:p>
        </w:tc>
      </w:tr>
      <w:tr>
        <w:tc>
          <w:tcPr>
            <w:tcMar>
              <w:top w:type="dxa" w:w="60"/>
              <w:left w:type="dxa" w:w="90"/>
              <w:bottom w:type="dxa" w:w="60"/>
              <w:right w:type="dxa" w:w="90"/>
            </w:tcMar>
            <w:vAlign w:val="center"/>
          </w:tcPr>
          <w:p>
            <w:pPr>
              <w:spacing w:after="20"/>
              <w:jc w:val="left"/>
            </w:pPr>
            <w:r>
              <w:rPr>
                <w:b/>
                <w:bCs/>
                <w:color w:val="566573"/>
                <w:sz w:val="18"/>
                <w:szCs w:val="18"/>
              </w:rPr>
              <w:t xml:space="preserve">RPT-20</w:t>
            </w:r>
          </w:p>
        </w:tc>
        <w:tc>
          <w:tcPr>
            <w:tcMar>
              <w:top w:type="dxa" w:w="60"/>
              <w:left w:type="dxa" w:w="90"/>
              <w:bottom w:type="dxa" w:w="60"/>
              <w:right w:type="dxa" w:w="90"/>
            </w:tcMar>
            <w:vAlign w:val="center"/>
          </w:tcPr>
          <w:p>
            <w:pPr>
              <w:spacing w:after="20"/>
              <w:jc w:val="left"/>
            </w:pPr>
            <w:r>
              <w:rPr>
                <w:color w:val="1A202C"/>
                <w:sz w:val="18"/>
                <w:szCs w:val="18"/>
              </w:rPr>
              <w:t xml:space="preserve">Reporting &amp; Reconciliation</w:t>
            </w:r>
          </w:p>
        </w:tc>
        <w:tc>
          <w:tcPr>
            <w:tcMar>
              <w:top w:type="dxa" w:w="60"/>
              <w:left w:type="dxa" w:w="90"/>
              <w:bottom w:type="dxa" w:w="60"/>
              <w:right w:type="dxa" w:w="90"/>
            </w:tcMar>
            <w:vAlign w:val="center"/>
          </w:tcPr>
          <w:p>
            <w:pPr>
              <w:spacing w:after="20"/>
              <w:jc w:val="left"/>
            </w:pPr>
            <w:r>
              <w:rPr>
                <w:color w:val="1A202C"/>
                <w:sz w:val="18"/>
                <w:szCs w:val="18"/>
              </w:rPr>
              <w:t xml:space="preserve">Refund rows are counted as payments in the payment-method report; gross-vs-net revenue is inconsistent across dashboards.</w:t>
            </w:r>
          </w:p>
        </w:tc>
        <w:tc>
          <w:tcPr>
            <w:tcMar>
              <w:top w:type="dxa" w:w="60"/>
              <w:left w:type="dxa" w:w="90"/>
              <w:bottom w:type="dxa" w:w="60"/>
              <w:right w:type="dxa" w:w="90"/>
            </w:tcMar>
            <w:vAlign w:val="center"/>
          </w:tcPr>
          <w:p>
            <w:pPr>
              <w:spacing w:after="20"/>
              <w:jc w:val="left"/>
            </w:pPr>
            <w:r>
              <w:rPr>
                <w:color w:val="1A202C"/>
                <w:sz w:val="18"/>
                <w:szCs w:val="18"/>
              </w:rPr>
              <w:t xml:space="preserve">reports.ts</w:t>
            </w:r>
          </w:p>
        </w:tc>
      </w:tr>
      <w:tr>
        <w:tc>
          <w:tcPr>
            <w:shd w:fill="EEF2F7" w:color="auto" w:val="clear"/>
            <w:tcMar>
              <w:top w:type="dxa" w:w="60"/>
              <w:left w:type="dxa" w:w="90"/>
              <w:bottom w:type="dxa" w:w="60"/>
              <w:right w:type="dxa" w:w="90"/>
            </w:tcMar>
            <w:vAlign w:val="center"/>
          </w:tcPr>
          <w:p>
            <w:pPr>
              <w:spacing w:after="20"/>
              <w:jc w:val="left"/>
            </w:pPr>
            <w:r>
              <w:rPr>
                <w:b/>
                <w:bCs/>
                <w:color w:val="566573"/>
                <w:sz w:val="18"/>
                <w:szCs w:val="18"/>
              </w:rPr>
              <w:t xml:space="preserve">DQ-16</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Data Integrity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A historically broken idempotency key means legacy duplicate bills/orders may already exist, detectable only heuristically.</w:t>
            </w:r>
          </w:p>
        </w:tc>
        <w:tc>
          <w:tcPr>
            <w:shd w:fill="EEF2F7" w:color="auto" w:val="clear"/>
            <w:tcMar>
              <w:top w:type="dxa" w:w="60"/>
              <w:left w:type="dxa" w:w="90"/>
              <w:bottom w:type="dxa" w:w="60"/>
              <w:right w:type="dxa" w:w="90"/>
            </w:tcMar>
            <w:vAlign w:val="center"/>
          </w:tcPr>
          <w:p>
            <w:pPr>
              <w:spacing w:after="20"/>
              <w:jc w:val="left"/>
            </w:pPr>
            <w:r>
              <w:rPr>
                <w:color w:val="1A202C"/>
                <w:sz w:val="18"/>
                <w:szCs w:val="18"/>
              </w:rPr>
              <w:t xml:space="preserve">bills.ts</w:t>
            </w:r>
          </w:p>
        </w:tc>
      </w:tr>
      <w:tr>
        <w:tc>
          <w:tcPr>
            <w:tcMar>
              <w:top w:type="dxa" w:w="60"/>
              <w:left w:type="dxa" w:w="90"/>
              <w:bottom w:type="dxa" w:w="60"/>
              <w:right w:type="dxa" w:w="90"/>
            </w:tcMar>
            <w:vAlign w:val="center"/>
          </w:tcPr>
          <w:p>
            <w:pPr>
              <w:spacing w:after="20"/>
              <w:jc w:val="left"/>
            </w:pPr>
            <w:r>
              <w:rPr>
                <w:b/>
                <w:bCs/>
                <w:color w:val="566573"/>
                <w:sz w:val="18"/>
                <w:szCs w:val="18"/>
              </w:rPr>
              <w:t xml:space="preserve">DQ-17</w:t>
            </w:r>
          </w:p>
        </w:tc>
        <w:tc>
          <w:tcPr>
            <w:tcMar>
              <w:top w:type="dxa" w:w="60"/>
              <w:left w:type="dxa" w:w="90"/>
              <w:bottom w:type="dxa" w:w="60"/>
              <w:right w:type="dxa" w:w="90"/>
            </w:tcMar>
            <w:vAlign w:val="center"/>
          </w:tcPr>
          <w:p>
            <w:pPr>
              <w:spacing w:after="20"/>
              <w:jc w:val="left"/>
            </w:pPr>
            <w:r>
              <w:rPr>
                <w:color w:val="1A202C"/>
                <w:sz w:val="18"/>
                <w:szCs w:val="18"/>
              </w:rPr>
              <w:t xml:space="preserve">Data Integrity</w:t>
            </w:r>
          </w:p>
        </w:tc>
        <w:tc>
          <w:tcPr>
            <w:tcMar>
              <w:top w:type="dxa" w:w="60"/>
              <w:left w:type="dxa" w:w="90"/>
              <w:bottom w:type="dxa" w:w="60"/>
              <w:right w:type="dxa" w:w="90"/>
            </w:tcMar>
            <w:vAlign w:val="center"/>
          </w:tcPr>
          <w:p>
            <w:pPr>
              <w:spacing w:after="20"/>
              <w:jc w:val="left"/>
            </w:pPr>
            <w:r>
              <w:rPr>
                <w:color w:val="1A202C"/>
                <w:sz w:val="18"/>
                <w:szCs w:val="18"/>
              </w:rPr>
              <w:t xml:space="preserve">Voucher numbers are generated by counting existing rows; combined with hard delete this can recycle a number.</w:t>
            </w:r>
          </w:p>
        </w:tc>
        <w:tc>
          <w:tcPr>
            <w:tcMar>
              <w:top w:type="dxa" w:w="60"/>
              <w:left w:type="dxa" w:w="90"/>
              <w:bottom w:type="dxa" w:w="60"/>
              <w:right w:type="dxa" w:w="90"/>
            </w:tcMar>
            <w:vAlign w:val="center"/>
          </w:tcPr>
          <w:p>
            <w:pPr>
              <w:spacing w:after="20"/>
              <w:jc w:val="left"/>
            </w:pPr>
            <w:r>
              <w:rPr>
                <w:color w:val="1A202C"/>
                <w:sz w:val="18"/>
                <w:szCs w:val="18"/>
              </w:rPr>
              <w:t xml:space="preserve">auto-voucher.ts</w:t>
            </w:r>
          </w:p>
        </w:tc>
      </w:tr>
    </w:tbl>
    <w:p>
      <w:r>
        <w:br w:type="page"/>
      </w:r>
    </w:p>
    <w:p>
      <w:pPr>
        <w:pStyle w:val="Heading1"/>
      </w:pPr>
      <w:r>
        <w:t xml:space="preserve">Appendix B — Basis and disclaimer</w:t>
      </w:r>
    </w:p>
    <w:p>
      <w:pPr>
        <w:spacing w:after="140" w:line="276"/>
        <w:jc w:val="both"/>
      </w:pPr>
      <w:r>
        <w:t xml:space="preserve">This note summarises an independent review of the CARE ERP software's accounting-related behaviour, based on examination of its source code and database design as at the date shown. Findings are evidence-based and were subjected to an internal adversarial verification pass; the five critical items were re-verified individually.</w:t>
      </w:r>
    </w:p>
    <w:p>
      <w:pPr>
        <w:spacing w:after="140" w:line="276"/>
        <w:jc w:val="both"/>
      </w:pPr>
      <w:r>
        <w:t xml:space="preserve">No production database or live records were examined; statements about the possible state of data describe what the system permits, not what necessarily exists. The accompanying data-checking script was validated for syntax against an empty structure only and was not run against live data.</w:t>
      </w:r>
    </w:p>
    <w:p>
      <w:pPr>
        <w:spacing w:after="140" w:line="276"/>
        <w:jc w:val="both"/>
      </w:pPr>
      <w:r>
        <w:t xml:space="preserve">This note is a systems and internal-controls review only. It is not a statutory audit, financial audit, GST/tax opinion, or legal advice, and it expresses no opinion on the financial statements or any statutory compliance. Matters described as requiring validation are raised for the Chartered Accountant's professional determination. Severity grades reflect financial-integrity risk to the organisation and are the reviewer's assessment, not an assurance conclusion.</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7B4"/>
        <w:sz w:val="16"/>
        <w:szCs w:val="16"/>
      </w:rPr>
      <w:t xml:space="preserve">Page </w:t>
    </w:r>
    <w:r>
      <w:rPr>
        <w:color w:val="9AA7B4"/>
        <w:sz w:val="16"/>
        <w:szCs w:val="16"/>
      </w:rPr>
      <w:fldChar w:fldCharType="begin"/>
      <w:instrText xml:space="preserve">PAGE</w:instrText>
      <w:fldChar w:fldCharType="separate"/>
      <w:fldChar w:fldCharType="end"/>
    </w:r>
    <w:r>
      <w:rPr>
        <w:color w:val="9AA7B4"/>
        <w:sz w:val="16"/>
        <w:szCs w:val="16"/>
      </w:rPr>
      <w:t xml:space="preserve"> — systems &amp; controls review; not a statutory audit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AA7B4"/>
        <w:sz w:val="15"/>
        <w:szCs w:val="15"/>
      </w:rPr>
      <w:t xml:space="preserve">CARE ERP — Accounting Review · Handover for CA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DEE8" w:sz="6"/>
      </w:pBdr>
      <w:spacing w:after="140" w:before="320"/>
    </w:pPr>
    <w:rPr>
      <w:b/>
      <w:bCs/>
      <w:color w:val="1F3A5F"/>
      <w:sz w:val="30"/>
      <w:szCs w:val="30"/>
    </w:rPr>
  </w:style>
  <w:style w:type="paragraph" w:styleId="Heading2">
    <w:name w:val="Heading 2"/>
    <w:basedOn w:val="Normal"/>
    <w:next w:val="Normal"/>
    <w:qFormat/>
    <w:pPr>
      <w:spacing w:after="100" w:before="240"/>
    </w:pPr>
    <w:rPr>
      <w:b/>
      <w:bCs/>
      <w:color w:val="1F3A5F"/>
      <w:sz w:val="25"/>
      <w:szCs w:val="25"/>
    </w:rPr>
  </w:style>
  <w:style w:type="paragraph" w:styleId="Heading3">
    <w:name w:val="Heading 3"/>
    <w:basedOn w:val="Normal"/>
    <w:next w:val="Normal"/>
    <w:qFormat/>
    <w:pPr>
      <w:spacing w:after="80" w:before="160"/>
    </w:pPr>
    <w:rPr>
      <w:b/>
      <w:bCs/>
      <w:color w:val="2C52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ERP — Accounting &amp; Financial-Controls Systems Review — CA Handover</dc:title>
  <dc:creator>CARE ERP Accounting Review</dc:creator>
  <dc:description>Handover note for the Chartered Accountant</dc:description>
  <cp:lastModifiedBy>Un-named</cp:lastModifiedBy>
  <cp:revision>1</cp:revision>
  <dcterms:created xsi:type="dcterms:W3CDTF">2026-07-17T12:50:51.916Z</dcterms:created>
  <dcterms:modified xsi:type="dcterms:W3CDTF">2026-07-17T12:50:51.919Z</dcterms:modified>
</cp:coreProperties>
</file>

<file path=docProps/custom.xml><?xml version="1.0" encoding="utf-8"?>
<Properties xmlns="http://schemas.openxmlformats.org/officeDocument/2006/custom-properties" xmlns:vt="http://schemas.openxmlformats.org/officeDocument/2006/docPropsVTypes"/>
</file>