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52B760AB" w:rsidR="00502288" w:rsidRPr="00FF5CB1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Cs w:val="24"/>
          <w:u w:val="none"/>
        </w:rPr>
      </w:pPr>
      <w:bookmarkStart w:id="0" w:name="_Hlk140068004"/>
      <w:proofErr w:type="gramStart"/>
      <w:r w:rsidRPr="00FF5CB1">
        <w:rPr>
          <w:rFonts w:asciiTheme="minorHAnsi" w:eastAsiaTheme="minorEastAsia" w:hAnsiTheme="minorHAnsi" w:cstheme="minorBidi"/>
          <w:b/>
          <w:szCs w:val="24"/>
          <w:u w:val="none"/>
        </w:rPr>
        <w:t>NAME :</w:t>
      </w:r>
      <w:proofErr w:type="gramEnd"/>
      <w:r w:rsidRPr="00FF5CB1">
        <w:rPr>
          <w:rFonts w:asciiTheme="minorHAnsi" w:eastAsiaTheme="minorEastAsia" w:hAnsiTheme="minorHAnsi" w:cstheme="minorBidi"/>
          <w:b/>
          <w:szCs w:val="24"/>
          <w:u w:val="none"/>
        </w:rPr>
        <w:t xml:space="preserve"> </w:t>
      </w:r>
      <w:r w:rsidR="006C2C48">
        <w:rPr>
          <w:rFonts w:asciiTheme="minorHAnsi" w:eastAsiaTheme="minorEastAsia" w:hAnsiTheme="minorHAnsi" w:cstheme="minorBidi"/>
          <w:b/>
          <w:szCs w:val="24"/>
          <w:u w:val="none"/>
        </w:rPr>
        <w:t>KHUSHI KUMARI</w:t>
      </w:r>
      <w:r w:rsidRPr="00FF5CB1">
        <w:rPr>
          <w:rFonts w:asciiTheme="minorHAnsi" w:eastAsiaTheme="minorEastAsia" w:hAnsiTheme="minorHAnsi" w:cstheme="minorBidi"/>
          <w:b/>
          <w:szCs w:val="24"/>
          <w:u w:val="none"/>
        </w:rPr>
        <w:t xml:space="preserve">                             </w:t>
      </w:r>
      <w:r w:rsidR="00F105AC" w:rsidRPr="00FF5CB1">
        <w:rPr>
          <w:rFonts w:asciiTheme="minorHAnsi" w:eastAsiaTheme="minorEastAsia" w:hAnsiTheme="minorHAnsi" w:cstheme="minorBidi"/>
          <w:b/>
          <w:szCs w:val="24"/>
          <w:u w:val="none"/>
        </w:rPr>
        <w:t xml:space="preserve">    </w:t>
      </w:r>
      <w:r w:rsidRPr="00FF5CB1">
        <w:rPr>
          <w:rFonts w:asciiTheme="minorHAnsi" w:eastAsiaTheme="minorEastAsia" w:hAnsiTheme="minorHAnsi" w:cstheme="minorBidi"/>
          <w:b/>
          <w:szCs w:val="24"/>
          <w:u w:val="none"/>
        </w:rPr>
        <w:t xml:space="preserve">  </w:t>
      </w:r>
      <w:r w:rsidR="00502288" w:rsidRPr="00FF5CB1">
        <w:rPr>
          <w:rFonts w:asciiTheme="minorHAnsi" w:eastAsiaTheme="minorEastAsia" w:hAnsiTheme="minorHAnsi" w:cstheme="minorBidi"/>
          <w:b/>
          <w:szCs w:val="24"/>
          <w:u w:val="none"/>
        </w:rPr>
        <w:t>DATE OF REPORT</w:t>
      </w:r>
      <w:r w:rsidR="00502288" w:rsidRPr="00FF5CB1">
        <w:rPr>
          <w:rFonts w:asciiTheme="minorHAnsi" w:eastAsiaTheme="minorEastAsia" w:hAnsiTheme="minorHAnsi" w:cstheme="minorBidi"/>
          <w:b/>
          <w:szCs w:val="24"/>
          <w:u w:val="none"/>
        </w:rPr>
        <w:tab/>
        <w:t xml:space="preserve">:  </w:t>
      </w:r>
      <w:r w:rsidR="00502288" w:rsidRPr="00FF5CB1">
        <w:rPr>
          <w:rFonts w:asciiTheme="minorHAnsi" w:eastAsiaTheme="minorEastAsia" w:hAnsiTheme="minorHAnsi" w:cstheme="minorBidi"/>
          <w:b/>
          <w:szCs w:val="24"/>
          <w:u w:val="none"/>
        </w:rPr>
        <w:fldChar w:fldCharType="begin"/>
      </w:r>
      <w:r w:rsidR="00502288" w:rsidRPr="00FF5CB1">
        <w:rPr>
          <w:rFonts w:asciiTheme="minorHAnsi" w:eastAsiaTheme="minorEastAsia" w:hAnsiTheme="minorHAnsi" w:cstheme="minorBidi"/>
          <w:b/>
          <w:szCs w:val="24"/>
          <w:u w:val="none"/>
        </w:rPr>
        <w:instrText xml:space="preserve"> DATE \@ "MMMM d, yyyy" </w:instrText>
      </w:r>
      <w:r w:rsidR="00502288" w:rsidRPr="00FF5CB1">
        <w:rPr>
          <w:rFonts w:asciiTheme="minorHAnsi" w:eastAsiaTheme="minorEastAsia" w:hAnsiTheme="minorHAnsi" w:cstheme="minorBidi"/>
          <w:b/>
          <w:szCs w:val="24"/>
          <w:u w:val="none"/>
        </w:rPr>
        <w:fldChar w:fldCharType="separate"/>
      </w:r>
      <w:r w:rsidR="006C2C48">
        <w:rPr>
          <w:rFonts w:asciiTheme="minorHAnsi" w:eastAsiaTheme="minorEastAsia" w:hAnsiTheme="minorHAnsi" w:cstheme="minorBidi"/>
          <w:b/>
          <w:noProof/>
          <w:szCs w:val="24"/>
          <w:u w:val="none"/>
        </w:rPr>
        <w:t>February 6, 2026</w:t>
      </w:r>
      <w:r w:rsidR="00502288" w:rsidRPr="00FF5CB1">
        <w:rPr>
          <w:rFonts w:asciiTheme="minorHAnsi" w:eastAsiaTheme="minorEastAsia" w:hAnsiTheme="minorHAnsi" w:cstheme="minorBidi"/>
          <w:b/>
          <w:szCs w:val="24"/>
          <w:u w:val="none"/>
        </w:rPr>
        <w:fldChar w:fldCharType="end"/>
      </w:r>
    </w:p>
    <w:p w14:paraId="1EF36FCC" w14:textId="528D1EF4" w:rsidR="0095386B" w:rsidRPr="00FF5CB1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Cs w:val="24"/>
          <w:u w:val="none"/>
        </w:rPr>
      </w:pPr>
      <w:proofErr w:type="spellStart"/>
      <w:r w:rsidRPr="00FF5CB1">
        <w:rPr>
          <w:rFonts w:asciiTheme="minorHAnsi" w:eastAsiaTheme="minorEastAsia" w:hAnsiTheme="minorHAnsi" w:cstheme="minorBidi"/>
          <w:b/>
          <w:szCs w:val="24"/>
          <w:u w:val="none"/>
        </w:rPr>
        <w:t>Refd</w:t>
      </w:r>
      <w:proofErr w:type="spellEnd"/>
      <w:r w:rsidRPr="00FF5CB1">
        <w:rPr>
          <w:rFonts w:asciiTheme="minorHAnsi" w:eastAsiaTheme="minorEastAsia" w:hAnsiTheme="minorHAnsi" w:cstheme="minorBidi"/>
          <w:b/>
          <w:szCs w:val="24"/>
          <w:u w:val="none"/>
        </w:rPr>
        <w:t xml:space="preserve">. By DR.: </w:t>
      </w:r>
      <w:r w:rsidR="006C2C48">
        <w:rPr>
          <w:rFonts w:asciiTheme="minorHAnsi" w:eastAsiaTheme="minorEastAsia" w:hAnsiTheme="minorHAnsi" w:cstheme="minorBidi"/>
          <w:b/>
          <w:szCs w:val="24"/>
          <w:u w:val="none"/>
        </w:rPr>
        <w:t>SHIVANGI MD DM NEURO CCDM</w:t>
      </w:r>
      <w:r w:rsidR="00B92D0E" w:rsidRPr="00FF5CB1">
        <w:rPr>
          <w:rFonts w:asciiTheme="minorHAnsi" w:eastAsiaTheme="minorEastAsia" w:hAnsiTheme="minorHAnsi" w:cstheme="minorBidi"/>
          <w:b/>
          <w:szCs w:val="24"/>
          <w:u w:val="none"/>
        </w:rPr>
        <w:t xml:space="preserve">  </w:t>
      </w:r>
      <w:r w:rsidR="006C2C48">
        <w:rPr>
          <w:rFonts w:asciiTheme="minorHAnsi" w:eastAsiaTheme="minorEastAsia" w:hAnsiTheme="minorHAnsi" w:cstheme="minorBidi"/>
          <w:b/>
          <w:szCs w:val="24"/>
          <w:u w:val="none"/>
        </w:rPr>
        <w:t xml:space="preserve">              </w:t>
      </w:r>
      <w:r w:rsidR="00BA473D" w:rsidRPr="00FF5CB1">
        <w:rPr>
          <w:rFonts w:asciiTheme="minorHAnsi" w:eastAsiaTheme="minorEastAsia" w:hAnsiTheme="minorHAnsi" w:cstheme="minorBidi"/>
          <w:b/>
          <w:szCs w:val="24"/>
          <w:u w:val="none"/>
        </w:rPr>
        <w:t xml:space="preserve">   </w:t>
      </w:r>
      <w:r w:rsidR="00C161C4" w:rsidRPr="00FF5CB1">
        <w:rPr>
          <w:rFonts w:asciiTheme="minorHAnsi" w:eastAsiaTheme="minorEastAsia" w:hAnsiTheme="minorHAnsi" w:cstheme="minorBidi"/>
          <w:b/>
          <w:szCs w:val="24"/>
          <w:u w:val="none"/>
        </w:rPr>
        <w:t xml:space="preserve">   </w:t>
      </w:r>
      <w:r w:rsidR="00502288" w:rsidRPr="00FF5CB1">
        <w:rPr>
          <w:rFonts w:asciiTheme="minorHAnsi" w:eastAsiaTheme="minorEastAsia" w:hAnsiTheme="minorHAnsi" w:cstheme="minorBidi"/>
          <w:b/>
          <w:szCs w:val="24"/>
          <w:u w:val="none"/>
        </w:rPr>
        <w:t>AGE</w:t>
      </w:r>
      <w:r w:rsidR="00502288" w:rsidRPr="00FF5CB1">
        <w:rPr>
          <w:rFonts w:asciiTheme="minorHAnsi" w:eastAsiaTheme="minorEastAsia" w:hAnsiTheme="minorHAnsi" w:cstheme="minorBidi"/>
          <w:b/>
          <w:szCs w:val="24"/>
          <w:u w:val="none"/>
        </w:rPr>
        <w:tab/>
        <w:t xml:space="preserve">:  </w:t>
      </w:r>
      <w:r w:rsidR="006C2C48">
        <w:rPr>
          <w:rFonts w:asciiTheme="minorHAnsi" w:eastAsiaTheme="minorEastAsia" w:hAnsiTheme="minorHAnsi" w:cstheme="minorBidi"/>
          <w:b/>
          <w:szCs w:val="24"/>
          <w:u w:val="none"/>
        </w:rPr>
        <w:t xml:space="preserve">17 </w:t>
      </w:r>
      <w:r w:rsidR="00502288" w:rsidRPr="00FF5CB1">
        <w:rPr>
          <w:rFonts w:asciiTheme="minorHAnsi" w:eastAsiaTheme="minorEastAsia" w:hAnsiTheme="minorHAnsi" w:cstheme="minorBidi"/>
          <w:b/>
          <w:szCs w:val="24"/>
          <w:u w:val="none"/>
        </w:rPr>
        <w:t xml:space="preserve">YRS/ </w:t>
      </w:r>
      <w:r w:rsidR="00F105AC" w:rsidRPr="00FF5CB1">
        <w:rPr>
          <w:rFonts w:asciiTheme="minorHAnsi" w:eastAsiaTheme="minorEastAsia" w:hAnsiTheme="minorHAnsi" w:cstheme="minorBidi"/>
          <w:b/>
          <w:szCs w:val="24"/>
          <w:u w:val="none"/>
        </w:rPr>
        <w:t>F</w:t>
      </w:r>
    </w:p>
    <w:p w14:paraId="3C12BA8D" w14:textId="34551658" w:rsidR="00F105AC" w:rsidRPr="00F105AC" w:rsidRDefault="0095386B" w:rsidP="00F105AC">
      <w:pPr>
        <w:spacing w:after="0" w:line="240" w:lineRule="auto"/>
        <w:jc w:val="center"/>
        <w:outlineLvl w:val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F5CB1">
        <w:rPr>
          <w:b/>
          <w:sz w:val="28"/>
          <w:szCs w:val="24"/>
        </w:rPr>
        <w:t>===================================================================</w:t>
      </w:r>
      <w:bookmarkEnd w:id="0"/>
      <w:r w:rsidR="002C0949" w:rsidRPr="00FF5CB1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val="en-IN" w:eastAsia="en-IN"/>
        </w:rPr>
        <w:t xml:space="preserve"> </w:t>
      </w:r>
    </w:p>
    <w:p w14:paraId="34FF2A97" w14:textId="77777777" w:rsidR="00F105AC" w:rsidRDefault="00F105AC" w:rsidP="00F105AC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19ACD9B0" w14:textId="77777777" w:rsidR="006C2C48" w:rsidRPr="006C2C48" w:rsidRDefault="006C2C48" w:rsidP="006C2C48">
      <w:pPr>
        <w:spacing w:after="120"/>
        <w:jc w:val="center"/>
        <w:outlineLvl w:val="1"/>
        <w:rPr>
          <w:rFonts w:ascii="Arial" w:eastAsia="Times New Roman" w:hAnsi="Arial" w:cs="Arial"/>
          <w:b/>
          <w:bCs/>
          <w:color w:val="1F1F1F"/>
          <w:sz w:val="28"/>
          <w:szCs w:val="28"/>
          <w:u w:val="single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8"/>
          <w:szCs w:val="28"/>
          <w:u w:val="single"/>
          <w:lang w:val="en-IN" w:eastAsia="en-IN"/>
        </w:rPr>
        <w:t>MRI BRAIN (EPILEPSY PROTOCOL) WITH AND WITHOUT CONTRAST</w:t>
      </w:r>
    </w:p>
    <w:p w14:paraId="1727FDFF" w14:textId="77777777" w:rsidR="006C2C48" w:rsidRPr="006C2C48" w:rsidRDefault="006C2C48" w:rsidP="006C2C48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CLINICAL HISTORY: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Seizure disorder. Evaluation for focal epileptogenic structural abnormality.</w:t>
      </w:r>
    </w:p>
    <w:p w14:paraId="7447D6EE" w14:textId="77777777" w:rsidR="006C2C48" w:rsidRPr="006C2C48" w:rsidRDefault="006C2C48" w:rsidP="006C2C48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TECHNIQUE: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Multiplanar, multisequence imaging of the brain was performed before and after administration of intravenous contrast. The epilepsy protocol includes high-resolution coronal T2 and FLAIR sequences perpendicular to the hippocampal axis. Susceptibility-weighted imaging (SWI) and Diffusion-weighted imaging (DWI/ADC) were also obtained.</w:t>
      </w:r>
    </w:p>
    <w:p w14:paraId="030D6A9E" w14:textId="77777777" w:rsidR="006C2C48" w:rsidRPr="006C2C48" w:rsidRDefault="006C2C48" w:rsidP="006C2C48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1853CFC8">
          <v:rect id="_x0000_i1074" style="width:0;height:1.5pt" o:hralign="center" o:hrstd="t" o:hrnoshade="t" o:hr="t" fillcolor="gray" stroked="f"/>
        </w:pict>
      </w:r>
    </w:p>
    <w:p w14:paraId="34BFD025" w14:textId="77777777" w:rsidR="006C2C48" w:rsidRPr="006C2C48" w:rsidRDefault="006C2C48" w:rsidP="006C2C48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  <w:t>FINDINGS</w:t>
      </w:r>
    </w:p>
    <w:p w14:paraId="3DA0DD62" w14:textId="77777777" w:rsidR="006C2C48" w:rsidRPr="006C2C48" w:rsidRDefault="006C2C48" w:rsidP="006C2C48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Right High Frontal Lobe Lesion:</w:t>
      </w:r>
    </w:p>
    <w:p w14:paraId="5F59BD16" w14:textId="77777777" w:rsidR="006C2C48" w:rsidRPr="006C2C48" w:rsidRDefault="006C2C48" w:rsidP="006C2C48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A focal, well-circumscribed lesion is identified in the subcortical white matter of the right high frontal lobe, measuring approximately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8.1 x 5.3 mm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10B7CF95" w14:textId="77777777" w:rsidR="006C2C48" w:rsidRPr="006C2C48" w:rsidRDefault="006C2C48" w:rsidP="006C2C48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Signal Characteristics: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lesion is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T1 hypointense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T2 hyperintense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. On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FLAIR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the central core is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hypointense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consistent with fluid-filled content.</w:t>
      </w:r>
    </w:p>
    <w:p w14:paraId="76A351C1" w14:textId="77777777" w:rsidR="006C2C48" w:rsidRPr="006C2C48" w:rsidRDefault="006C2C48" w:rsidP="006C2C48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Enhancement Pattern: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Post-gadolinium sequences demonstrate a distinct, regular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peripheral ring enhancement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surrounding the non-enhancing core.</w:t>
      </w:r>
    </w:p>
    <w:p w14:paraId="72845604" w14:textId="77777777" w:rsidR="006C2C48" w:rsidRPr="006C2C48" w:rsidRDefault="006C2C48" w:rsidP="006C2C48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Perilesional </w:t>
      </w:r>
      <w:proofErr w:type="spellStart"/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Edema</w:t>
      </w:r>
      <w:proofErr w:type="spellEnd"/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associated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perilesional vasogenic </w:t>
      </w:r>
      <w:proofErr w:type="spellStart"/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edema</w:t>
      </w:r>
      <w:proofErr w:type="spellEnd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visualized as T2/FLAIR hyperintensity in the adjacent white matter. No significant mass effect or midline shift is noted.</w:t>
      </w:r>
    </w:p>
    <w:p w14:paraId="59E4CFDD" w14:textId="77777777" w:rsidR="006C2C48" w:rsidRPr="006C2C48" w:rsidRDefault="006C2C48" w:rsidP="006C2C48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Susceptibility (SWI):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 focal area of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SWI </w:t>
      </w:r>
      <w:proofErr w:type="spellStart"/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hypointensity</w:t>
      </w:r>
      <w:proofErr w:type="spellEnd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(blooming) is present within the lesion. Analysis of the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phase imaging reveals reverse phase hyperintensity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diagnostic of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diamagnetic material (calcification)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3A07273B" w14:textId="77777777" w:rsidR="006C2C48" w:rsidRPr="006C2C48" w:rsidRDefault="006C2C48" w:rsidP="006C2C48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Diffusion (DWI/ADC):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Primarily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DWI hypointense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with a focal hyperintense internal focus. The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ADC map is hyperintense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confirming the absence of restricted diffusion.</w:t>
      </w:r>
    </w:p>
    <w:p w14:paraId="3F78C306" w14:textId="77777777" w:rsidR="006C2C48" w:rsidRPr="006C2C48" w:rsidRDefault="006C2C48" w:rsidP="006C2C48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Hippocampal &amp; Mesial Temporal Structures:</w:t>
      </w:r>
    </w:p>
    <w:p w14:paraId="16DE86B0" w14:textId="77777777" w:rsidR="006C2C48" w:rsidRPr="006C2C48" w:rsidRDefault="006C2C48" w:rsidP="006C2C48">
      <w:pPr>
        <w:spacing w:after="24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hippocampi demonstrate symmetric volume, morphology, and internal architecture. No T2/FLAIR signal hyperintensity or loss of hippocampal </w:t>
      </w:r>
      <w:proofErr w:type="spellStart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hippocampal</w:t>
      </w:r>
      <w:proofErr w:type="spellEnd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digitations is seen. The </w:t>
      </w:r>
      <w:proofErr w:type="spellStart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parahippocampal</w:t>
      </w:r>
      <w:proofErr w:type="spellEnd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gyri and amygdala are unremarkable.</w:t>
      </w:r>
    </w:p>
    <w:p w14:paraId="7E5B8B86" w14:textId="77777777" w:rsidR="006C2C48" w:rsidRDefault="006C2C48" w:rsidP="006C2C48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5D936EE7" w14:textId="77777777" w:rsidR="006C2C48" w:rsidRDefault="006C2C48" w:rsidP="006C2C48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6AE6D330" w14:textId="77777777" w:rsidR="006C2C48" w:rsidRDefault="006C2C48" w:rsidP="006C2C48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3525EFF3" w14:textId="77777777" w:rsidR="006C2C48" w:rsidRDefault="006C2C48" w:rsidP="006C2C48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5736E37F" w14:textId="77777777" w:rsidR="006C2C48" w:rsidRDefault="006C2C48" w:rsidP="006C2C48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0D1029AD" w14:textId="77777777" w:rsidR="006C2C48" w:rsidRDefault="006C2C48" w:rsidP="006C2C48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7E62E9F4" w14:textId="77777777" w:rsidR="006C2C48" w:rsidRDefault="006C2C48" w:rsidP="006C2C48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707BAE5E" w14:textId="77777777" w:rsidR="006C2C48" w:rsidRDefault="006C2C48" w:rsidP="006C2C48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6AAA572B" w14:textId="77777777" w:rsidR="006C2C48" w:rsidRDefault="006C2C48" w:rsidP="006C2C48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71E1C8AE" w14:textId="53DD44EF" w:rsidR="006C2C48" w:rsidRPr="006C2C48" w:rsidRDefault="006C2C48" w:rsidP="006C2C48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Basal Ganglia, Thalamus, and Internal Capsule:</w:t>
      </w:r>
    </w:p>
    <w:p w14:paraId="7DDCA4A2" w14:textId="77777777" w:rsidR="006C2C48" w:rsidRPr="006C2C48" w:rsidRDefault="006C2C48" w:rsidP="006C2C48">
      <w:pPr>
        <w:spacing w:after="24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basal ganglia, thalami, and internal capsules appear normal in signal intensity and configuration. No focal lesions or evidence of chronic ischemic changes are identified in these deep </w:t>
      </w:r>
      <w:proofErr w:type="spellStart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gray</w:t>
      </w:r>
      <w:proofErr w:type="spellEnd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/white matter structures.</w:t>
      </w:r>
    </w:p>
    <w:p w14:paraId="14A4CA93" w14:textId="77777777" w:rsidR="006C2C48" w:rsidRPr="006C2C48" w:rsidRDefault="006C2C48" w:rsidP="006C2C48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Midbrain, Brainstem, and Cerebellum:</w:t>
      </w:r>
    </w:p>
    <w:p w14:paraId="10FC164A" w14:textId="77777777" w:rsidR="006C2C48" w:rsidRPr="006C2C48" w:rsidRDefault="006C2C48" w:rsidP="006C2C48">
      <w:pPr>
        <w:spacing w:after="24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midbrain, pons, and medulla oblongata demonstrate normal signal and morphology. The cerebellar hemispheres and vermis are intact with a normal </w:t>
      </w:r>
      <w:proofErr w:type="spellStart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folial</w:t>
      </w:r>
      <w:proofErr w:type="spellEnd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pattern. No posterior fossa masses or Chiari malformation is present.</w:t>
      </w:r>
    </w:p>
    <w:p w14:paraId="31EFC0CB" w14:textId="77777777" w:rsidR="006C2C48" w:rsidRPr="006C2C48" w:rsidRDefault="006C2C48" w:rsidP="006C2C48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Ventricular System and Extra-axial Spaces:</w:t>
      </w:r>
    </w:p>
    <w:p w14:paraId="55C3F028" w14:textId="77777777" w:rsidR="006C2C48" w:rsidRPr="006C2C48" w:rsidRDefault="006C2C48" w:rsidP="006C2C48">
      <w:pPr>
        <w:spacing w:after="24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ventricular system is midline and normal in size for the patient's age. The basal cisterns and cortical sulci are patent. No extra-axial fluid collections or suspicious meningeal enhancement are visualized.</w:t>
      </w:r>
    </w:p>
    <w:p w14:paraId="58E10226" w14:textId="1A16134E" w:rsidR="006C2C48" w:rsidRPr="006C2C48" w:rsidRDefault="006C2C48" w:rsidP="006C2C48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proofErr w:type="gramStart"/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Orbits,:</w:t>
      </w:r>
      <w:proofErr w:type="gramEnd"/>
    </w:p>
    <w:p w14:paraId="4B1C60EB" w14:textId="5BEF51B4" w:rsidR="006C2C48" w:rsidRPr="006C2C48" w:rsidRDefault="006C2C48" w:rsidP="006C2C48">
      <w:pPr>
        <w:spacing w:after="24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visualized portions of the orbits are unremarkable. </w:t>
      </w:r>
    </w:p>
    <w:p w14:paraId="1ABEED8B" w14:textId="77777777" w:rsidR="006C2C48" w:rsidRPr="006C2C48" w:rsidRDefault="006C2C48" w:rsidP="006C2C48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6256ED71">
          <v:rect id="_x0000_i1075" style="width:0;height:1.5pt" o:hralign="center" o:hrstd="t" o:hrnoshade="t" o:hr="t" fillcolor="gray" stroked="f"/>
        </w:pict>
      </w:r>
    </w:p>
    <w:p w14:paraId="29AB9CA1" w14:textId="77777777" w:rsidR="006C2C48" w:rsidRPr="006C2C48" w:rsidRDefault="006C2C48" w:rsidP="006C2C48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  <w:t>IMPRESSION</w:t>
      </w:r>
    </w:p>
    <w:p w14:paraId="37A489A1" w14:textId="77777777" w:rsidR="006C2C48" w:rsidRPr="006C2C48" w:rsidRDefault="006C2C48" w:rsidP="006C2C48">
      <w:pPr>
        <w:numPr>
          <w:ilvl w:val="0"/>
          <w:numId w:val="29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Focal 8.1 x 5.3 mm ring-enhancing lesion in the right high frontal lobe.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imaging features—specifically the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FLAIR-suppressing core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perilesional </w:t>
      </w:r>
      <w:proofErr w:type="spellStart"/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edema</w:t>
      </w:r>
      <w:proofErr w:type="spellEnd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and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calcified scolex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(confirmed by SWI reverse phase)—are highly suggestive of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Neurocysticercosis (Granular Nodular Stage)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3E40C7B8" w14:textId="77777777" w:rsidR="006C2C48" w:rsidRPr="006C2C48" w:rsidRDefault="006C2C48" w:rsidP="006C2C48">
      <w:pPr>
        <w:numPr>
          <w:ilvl w:val="0"/>
          <w:numId w:val="29"/>
        </w:num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presence of </w:t>
      </w: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enhancement and vasogenic </w:t>
      </w:r>
      <w:proofErr w:type="spellStart"/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edema</w:t>
      </w:r>
      <w:proofErr w:type="spellEnd"/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indicates an active inflammatory response, which is the likely focus for the patient's epilepsy.</w:t>
      </w:r>
    </w:p>
    <w:p w14:paraId="563ABCB4" w14:textId="77777777" w:rsidR="006C2C48" w:rsidRPr="006C2C48" w:rsidRDefault="006C2C48" w:rsidP="006C2C48">
      <w:pPr>
        <w:numPr>
          <w:ilvl w:val="0"/>
          <w:numId w:val="29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 evidence of mesial temporal sclerosis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or other secondary epileptogenic foci.</w:t>
      </w:r>
    </w:p>
    <w:p w14:paraId="382F16A8" w14:textId="77777777" w:rsidR="006C2C48" w:rsidRDefault="006C2C48" w:rsidP="006C2C48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3CD10549" w14:textId="56F7FC86" w:rsidR="006C2C48" w:rsidRDefault="006C2C48" w:rsidP="006C2C48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Recommendations: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</w:p>
    <w:p w14:paraId="26661D95" w14:textId="23DEFE5D" w:rsidR="006C2C48" w:rsidRPr="006C2C48" w:rsidRDefault="006C2C48" w:rsidP="006C2C48">
      <w:pPr>
        <w:pStyle w:val="ListParagraph"/>
        <w:numPr>
          <w:ilvl w:val="0"/>
          <w:numId w:val="30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Correlation with serum/CSF immunological testing (e.g., EITB).</w:t>
      </w:r>
    </w:p>
    <w:p w14:paraId="3689AEF4" w14:textId="74344DBE" w:rsidR="006C2C48" w:rsidRPr="006C2C48" w:rsidRDefault="006C2C48" w:rsidP="006C2C48">
      <w:pPr>
        <w:pStyle w:val="ListParagraph"/>
        <w:numPr>
          <w:ilvl w:val="0"/>
          <w:numId w:val="30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MR Spectroscopy (MRS)</w:t>
      </w: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is suggested to further differentiate from a neoplastic process.</w:t>
      </w:r>
    </w:p>
    <w:p w14:paraId="5B09879A" w14:textId="77777777" w:rsidR="006C2C48" w:rsidRPr="006C2C48" w:rsidRDefault="006C2C48" w:rsidP="006C2C48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C2C4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3BDFF453">
          <v:rect id="_x0000_i1076" style="width:0;height:1.5pt" o:hralign="center" o:hrstd="t" o:hrnoshade="t" o:hr="t" fillcolor="gray" stroked="f"/>
        </w:pict>
      </w:r>
    </w:p>
    <w:p w14:paraId="58BFCA3B" w14:textId="77777777" w:rsidR="00F105AC" w:rsidRPr="00C161C4" w:rsidRDefault="00F105AC" w:rsidP="006C2C48">
      <w:pPr>
        <w:spacing w:after="0"/>
        <w:outlineLvl w:val="1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sectPr w:rsidR="00F105AC" w:rsidRPr="00C161C4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704334"/>
    <w:multiLevelType w:val="multilevel"/>
    <w:tmpl w:val="DAA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6161"/>
    <w:multiLevelType w:val="multilevel"/>
    <w:tmpl w:val="4266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37B89"/>
    <w:multiLevelType w:val="multilevel"/>
    <w:tmpl w:val="07D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9699E"/>
    <w:multiLevelType w:val="hybridMultilevel"/>
    <w:tmpl w:val="52D8A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A7634"/>
    <w:multiLevelType w:val="multilevel"/>
    <w:tmpl w:val="0FFA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E6B4F"/>
    <w:multiLevelType w:val="multilevel"/>
    <w:tmpl w:val="0290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67218"/>
    <w:multiLevelType w:val="multilevel"/>
    <w:tmpl w:val="B85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32DFD"/>
    <w:multiLevelType w:val="multilevel"/>
    <w:tmpl w:val="0C50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A0724"/>
    <w:multiLevelType w:val="multilevel"/>
    <w:tmpl w:val="669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796B5E"/>
    <w:multiLevelType w:val="multilevel"/>
    <w:tmpl w:val="9BC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67617"/>
    <w:multiLevelType w:val="multilevel"/>
    <w:tmpl w:val="3520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F2046"/>
    <w:multiLevelType w:val="multilevel"/>
    <w:tmpl w:val="8FCA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D048B4"/>
    <w:multiLevelType w:val="multilevel"/>
    <w:tmpl w:val="B36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75030"/>
    <w:multiLevelType w:val="multilevel"/>
    <w:tmpl w:val="1296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33115"/>
    <w:multiLevelType w:val="multilevel"/>
    <w:tmpl w:val="739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E5719"/>
    <w:multiLevelType w:val="multilevel"/>
    <w:tmpl w:val="511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32D8A"/>
    <w:multiLevelType w:val="multilevel"/>
    <w:tmpl w:val="8FF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68288">
    <w:abstractNumId w:val="10"/>
  </w:num>
  <w:num w:numId="2" w16cid:durableId="448743625">
    <w:abstractNumId w:val="4"/>
  </w:num>
  <w:num w:numId="3" w16cid:durableId="318971349">
    <w:abstractNumId w:val="9"/>
  </w:num>
  <w:num w:numId="4" w16cid:durableId="1167864487">
    <w:abstractNumId w:val="21"/>
  </w:num>
  <w:num w:numId="5" w16cid:durableId="191725128">
    <w:abstractNumId w:val="0"/>
  </w:num>
  <w:num w:numId="6" w16cid:durableId="35275895">
    <w:abstractNumId w:val="24"/>
  </w:num>
  <w:num w:numId="7" w16cid:durableId="1790516336">
    <w:abstractNumId w:val="19"/>
  </w:num>
  <w:num w:numId="8" w16cid:durableId="1271736965">
    <w:abstractNumId w:val="14"/>
  </w:num>
  <w:num w:numId="9" w16cid:durableId="1716856659">
    <w:abstractNumId w:val="26"/>
  </w:num>
  <w:num w:numId="10" w16cid:durableId="309947313">
    <w:abstractNumId w:val="23"/>
  </w:num>
  <w:num w:numId="11" w16cid:durableId="1689406927">
    <w:abstractNumId w:val="6"/>
  </w:num>
  <w:num w:numId="12" w16cid:durableId="1984770856">
    <w:abstractNumId w:val="15"/>
  </w:num>
  <w:num w:numId="13" w16cid:durableId="495729243">
    <w:abstractNumId w:val="17"/>
  </w:num>
  <w:num w:numId="14" w16cid:durableId="57941709">
    <w:abstractNumId w:val="27"/>
  </w:num>
  <w:num w:numId="15" w16cid:durableId="407652252">
    <w:abstractNumId w:val="28"/>
  </w:num>
  <w:num w:numId="16" w16cid:durableId="1805391023">
    <w:abstractNumId w:val="29"/>
  </w:num>
  <w:num w:numId="17" w16cid:durableId="638799304">
    <w:abstractNumId w:val="13"/>
  </w:num>
  <w:num w:numId="18" w16cid:durableId="2090152052">
    <w:abstractNumId w:val="11"/>
  </w:num>
  <w:num w:numId="19" w16cid:durableId="1552182880">
    <w:abstractNumId w:val="1"/>
  </w:num>
  <w:num w:numId="20" w16cid:durableId="802164159">
    <w:abstractNumId w:val="18"/>
  </w:num>
  <w:num w:numId="21" w16cid:durableId="1509255238">
    <w:abstractNumId w:val="22"/>
  </w:num>
  <w:num w:numId="22" w16cid:durableId="755714411">
    <w:abstractNumId w:val="2"/>
  </w:num>
  <w:num w:numId="23" w16cid:durableId="448283991">
    <w:abstractNumId w:val="20"/>
  </w:num>
  <w:num w:numId="24" w16cid:durableId="319893242">
    <w:abstractNumId w:val="25"/>
  </w:num>
  <w:num w:numId="25" w16cid:durableId="1982615781">
    <w:abstractNumId w:val="16"/>
  </w:num>
  <w:num w:numId="26" w16cid:durableId="1283149639">
    <w:abstractNumId w:val="8"/>
  </w:num>
  <w:num w:numId="27" w16cid:durableId="1207909086">
    <w:abstractNumId w:val="7"/>
  </w:num>
  <w:num w:numId="28" w16cid:durableId="1627542507">
    <w:abstractNumId w:val="3"/>
  </w:num>
  <w:num w:numId="29" w16cid:durableId="28452839">
    <w:abstractNumId w:val="12"/>
  </w:num>
  <w:num w:numId="30" w16cid:durableId="13375366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C0949"/>
    <w:rsid w:val="002F0E57"/>
    <w:rsid w:val="002F1DAE"/>
    <w:rsid w:val="0035396A"/>
    <w:rsid w:val="0036325E"/>
    <w:rsid w:val="003646FD"/>
    <w:rsid w:val="00462ADD"/>
    <w:rsid w:val="00502288"/>
    <w:rsid w:val="00551FF5"/>
    <w:rsid w:val="005A6BB5"/>
    <w:rsid w:val="005F7EEB"/>
    <w:rsid w:val="006311C2"/>
    <w:rsid w:val="0065098F"/>
    <w:rsid w:val="006C2C48"/>
    <w:rsid w:val="00712AB9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92D0E"/>
    <w:rsid w:val="00BA473D"/>
    <w:rsid w:val="00BA7060"/>
    <w:rsid w:val="00BC2EFD"/>
    <w:rsid w:val="00C03D49"/>
    <w:rsid w:val="00C161C4"/>
    <w:rsid w:val="00C464B5"/>
    <w:rsid w:val="00EF74CB"/>
    <w:rsid w:val="00F105AC"/>
    <w:rsid w:val="00F8296A"/>
    <w:rsid w:val="00FE53D0"/>
    <w:rsid w:val="00FF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2026-02-06T03:17:00Z</cp:lastPrinted>
  <dcterms:created xsi:type="dcterms:W3CDTF">2026-02-06T03:18:00Z</dcterms:created>
  <dcterms:modified xsi:type="dcterms:W3CDTF">2026-02-06T03:18:00Z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