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61609B" w:rsidRDefault="0061609B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Pr="0061609B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7608B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42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7608B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N.KUMAR   M.D.,D.T.C.D.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7608B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27.08.2020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D02230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HR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D02230" w:rsidRPr="00B63FC5" w:rsidRDefault="00D02230" w:rsidP="00D0223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scan of the Thorax has been done from apices to base and seen in various soft tissue windows. </w:t>
      </w:r>
    </w:p>
    <w:p w:rsidR="00D02230" w:rsidRPr="00B63FC5" w:rsidRDefault="00D02230" w:rsidP="00D0223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D02230" w:rsidRDefault="00D02230" w:rsidP="00D0223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Bilateral diffuse </w:t>
      </w:r>
      <w:r w:rsidR="00D11270">
        <w:rPr>
          <w:rFonts w:ascii="Arial" w:hAnsi="Arial" w:cs="Arial"/>
          <w:color w:val="000000"/>
          <w:sz w:val="22"/>
          <w:szCs w:val="22"/>
        </w:rPr>
        <w:t>peripheral,</w:t>
      </w:r>
      <w:r w:rsidR="00B06729">
        <w:rPr>
          <w:rFonts w:ascii="Arial" w:hAnsi="Arial" w:cs="Arial"/>
          <w:color w:val="000000"/>
          <w:sz w:val="22"/>
          <w:szCs w:val="22"/>
        </w:rPr>
        <w:t xml:space="preserve"> subpleural </w:t>
      </w:r>
      <w:r>
        <w:rPr>
          <w:rFonts w:ascii="Arial" w:hAnsi="Arial" w:cs="Arial"/>
          <w:color w:val="000000"/>
          <w:sz w:val="22"/>
          <w:szCs w:val="22"/>
        </w:rPr>
        <w:t xml:space="preserve">and non-lobar distribution of consolidation / ground glass opacities with septal thickening (crazy paving pattern) are seen in lung parenchyma predominantly in lower lobes. </w:t>
      </w:r>
      <w:r w:rsidR="00B06729">
        <w:rPr>
          <w:rFonts w:ascii="Arial" w:hAnsi="Arial" w:cs="Arial"/>
          <w:color w:val="000000"/>
          <w:sz w:val="22"/>
          <w:szCs w:val="22"/>
        </w:rPr>
        <w:t>S</w:t>
      </w:r>
      <w:r>
        <w:rPr>
          <w:rFonts w:ascii="Arial" w:hAnsi="Arial" w:cs="Arial"/>
          <w:color w:val="000000"/>
          <w:sz w:val="22"/>
          <w:szCs w:val="22"/>
        </w:rPr>
        <w:t>ubpleural fibrotic bands</w:t>
      </w:r>
      <w:r w:rsidR="00D11270">
        <w:rPr>
          <w:rFonts w:ascii="Arial" w:hAnsi="Arial" w:cs="Arial"/>
          <w:color w:val="000000"/>
          <w:sz w:val="22"/>
          <w:szCs w:val="22"/>
        </w:rPr>
        <w:t xml:space="preserve"> and architectural distortion are</w:t>
      </w:r>
      <w:r>
        <w:rPr>
          <w:rFonts w:ascii="Arial" w:hAnsi="Arial" w:cs="Arial"/>
          <w:color w:val="000000"/>
          <w:sz w:val="22"/>
          <w:szCs w:val="22"/>
        </w:rPr>
        <w:t xml:space="preserve"> seen in </w:t>
      </w:r>
      <w:r w:rsidR="00B06729">
        <w:rPr>
          <w:rFonts w:ascii="Arial" w:hAnsi="Arial" w:cs="Arial"/>
          <w:color w:val="000000"/>
          <w:sz w:val="22"/>
          <w:szCs w:val="22"/>
        </w:rPr>
        <w:t>bilateral</w:t>
      </w:r>
      <w:r w:rsidR="00B44646">
        <w:rPr>
          <w:rFonts w:ascii="Arial" w:hAnsi="Arial" w:cs="Arial"/>
          <w:color w:val="000000"/>
          <w:sz w:val="22"/>
          <w:szCs w:val="22"/>
        </w:rPr>
        <w:t xml:space="preserve"> lung</w:t>
      </w:r>
      <w:r w:rsidR="00D11270">
        <w:rPr>
          <w:rFonts w:ascii="Arial" w:hAnsi="Arial" w:cs="Arial"/>
          <w:color w:val="000000"/>
          <w:sz w:val="22"/>
          <w:szCs w:val="22"/>
        </w:rPr>
        <w:t xml:space="preserve"> parenchyma predominantly in lower lobes.</w:t>
      </w:r>
    </w:p>
    <w:p w:rsidR="00D02230" w:rsidRDefault="00D02230" w:rsidP="00D0223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D02230" w:rsidRPr="00C1131E" w:rsidRDefault="00D02230" w:rsidP="00D02230">
      <w:pPr>
        <w:autoSpaceDE w:val="0"/>
        <w:autoSpaceDN w:val="0"/>
        <w:adjustRightInd w:val="0"/>
        <w:ind w:left="450"/>
        <w:rPr>
          <w:rFonts w:ascii="Arial" w:hAnsi="Arial" w:cs="Arial"/>
          <w:b/>
          <w:i/>
          <w:color w:val="000000"/>
          <w:sz w:val="22"/>
          <w:szCs w:val="22"/>
          <w:u w:val="single"/>
        </w:rPr>
      </w:pPr>
      <w:r w:rsidRPr="00C1131E">
        <w:rPr>
          <w:rFonts w:ascii="Arial" w:hAnsi="Arial" w:cs="Arial"/>
          <w:b/>
          <w:i/>
          <w:color w:val="000000"/>
          <w:sz w:val="22"/>
          <w:szCs w:val="22"/>
          <w:u w:val="single"/>
        </w:rPr>
        <w:t>CT Severity scoring system</w:t>
      </w:r>
    </w:p>
    <w:p w:rsidR="00FA05A2" w:rsidRDefault="00FA05A2" w:rsidP="00FA05A2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Affected lung in percentage per lobe (Max 25 points).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(0% - 0 point), (Less than 5% = 1 point), (5% - 25% = 2 point), (26% - 50% = 3 point), (51 % - 75% = 4 point), (76% - 100% = 5 point).</w:t>
      </w:r>
    </w:p>
    <w:p w:rsidR="00D02230" w:rsidRDefault="00D02230" w:rsidP="00D0223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tbl>
      <w:tblPr>
        <w:tblStyle w:val="TableGrid"/>
        <w:tblW w:w="9941" w:type="dxa"/>
        <w:tblInd w:w="558" w:type="dxa"/>
        <w:tblLook w:val="04A0"/>
      </w:tblPr>
      <w:tblGrid>
        <w:gridCol w:w="6"/>
        <w:gridCol w:w="2768"/>
        <w:gridCol w:w="4410"/>
        <w:gridCol w:w="2757"/>
      </w:tblGrid>
      <w:tr w:rsidR="007E52CD" w:rsidTr="007E52CD">
        <w:trPr>
          <w:gridBefore w:val="1"/>
          <w:wBefore w:w="6" w:type="dxa"/>
        </w:trPr>
        <w:tc>
          <w:tcPr>
            <w:tcW w:w="2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E52CD" w:rsidRDefault="007E52C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Lung Lobes</w:t>
            </w:r>
          </w:p>
        </w:tc>
        <w:tc>
          <w:tcPr>
            <w:tcW w:w="4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E52CD" w:rsidRDefault="007E52C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Percentage (%)</w:t>
            </w:r>
          </w:p>
        </w:tc>
        <w:tc>
          <w:tcPr>
            <w:tcW w:w="2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E52CD" w:rsidRDefault="007E52C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Points</w:t>
            </w:r>
          </w:p>
        </w:tc>
      </w:tr>
      <w:tr w:rsidR="007E52CD" w:rsidTr="007E52CD">
        <w:trPr>
          <w:gridBefore w:val="1"/>
          <w:wBefore w:w="6" w:type="dxa"/>
        </w:trPr>
        <w:tc>
          <w:tcPr>
            <w:tcW w:w="2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E52CD" w:rsidRDefault="007E52C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Right upper lung lobe</w:t>
            </w:r>
          </w:p>
        </w:tc>
        <w:tc>
          <w:tcPr>
            <w:tcW w:w="4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E52CD" w:rsidRDefault="007E52C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25%-50%</w:t>
            </w:r>
          </w:p>
        </w:tc>
        <w:tc>
          <w:tcPr>
            <w:tcW w:w="2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E52CD" w:rsidRDefault="007E52C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</w:tr>
      <w:tr w:rsidR="007E52CD" w:rsidTr="007E52CD">
        <w:trPr>
          <w:gridBefore w:val="1"/>
          <w:wBefore w:w="6" w:type="dxa"/>
          <w:trHeight w:val="298"/>
        </w:trPr>
        <w:tc>
          <w:tcPr>
            <w:tcW w:w="2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E52CD" w:rsidRDefault="007E52C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Right middle lung lobe</w:t>
            </w:r>
          </w:p>
        </w:tc>
        <w:tc>
          <w:tcPr>
            <w:tcW w:w="4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E52CD" w:rsidRDefault="007E52C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25%-50%</w:t>
            </w:r>
          </w:p>
        </w:tc>
        <w:tc>
          <w:tcPr>
            <w:tcW w:w="2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E52CD" w:rsidRDefault="007E52C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</w:tr>
      <w:tr w:rsidR="007E52CD" w:rsidTr="007E52CD">
        <w:trPr>
          <w:gridBefore w:val="1"/>
          <w:wBefore w:w="6" w:type="dxa"/>
          <w:trHeight w:val="298"/>
        </w:trPr>
        <w:tc>
          <w:tcPr>
            <w:tcW w:w="2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E52CD" w:rsidRDefault="007E52C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Right lower lung lobe</w:t>
            </w:r>
          </w:p>
        </w:tc>
        <w:tc>
          <w:tcPr>
            <w:tcW w:w="4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E52CD" w:rsidRDefault="007E52C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50%-75%</w:t>
            </w:r>
          </w:p>
        </w:tc>
        <w:tc>
          <w:tcPr>
            <w:tcW w:w="2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E52CD" w:rsidRDefault="007E52C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</w:tr>
      <w:tr w:rsidR="007E52CD" w:rsidTr="007E52CD">
        <w:trPr>
          <w:gridBefore w:val="1"/>
          <w:wBefore w:w="6" w:type="dxa"/>
        </w:trPr>
        <w:tc>
          <w:tcPr>
            <w:tcW w:w="2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E52CD" w:rsidRDefault="007E52C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Left upper ling lobe</w:t>
            </w:r>
          </w:p>
        </w:tc>
        <w:tc>
          <w:tcPr>
            <w:tcW w:w="4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E52CD" w:rsidRDefault="007E52C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25%-50%</w:t>
            </w:r>
          </w:p>
        </w:tc>
        <w:tc>
          <w:tcPr>
            <w:tcW w:w="2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E52CD" w:rsidRDefault="007E52C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</w:tr>
      <w:tr w:rsidR="007E52CD" w:rsidTr="007E52CD">
        <w:trPr>
          <w:gridBefore w:val="1"/>
          <w:wBefore w:w="6" w:type="dxa"/>
        </w:trPr>
        <w:tc>
          <w:tcPr>
            <w:tcW w:w="2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E52CD" w:rsidRDefault="007E52C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Left lower lung lobe</w:t>
            </w:r>
          </w:p>
        </w:tc>
        <w:tc>
          <w:tcPr>
            <w:tcW w:w="4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E52CD" w:rsidRDefault="007E52C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50%-75%</w:t>
            </w:r>
          </w:p>
        </w:tc>
        <w:tc>
          <w:tcPr>
            <w:tcW w:w="2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E52CD" w:rsidRDefault="007E52C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</w:tr>
      <w:tr w:rsidR="007E52CD" w:rsidTr="007E52CD">
        <w:tc>
          <w:tcPr>
            <w:tcW w:w="277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E52CD" w:rsidRDefault="007E52C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CTSS (Overall)</w:t>
            </w:r>
          </w:p>
        </w:tc>
        <w:tc>
          <w:tcPr>
            <w:tcW w:w="71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E52CD" w:rsidRDefault="007E52C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                    17 out of 25 (moderate Severity)</w:t>
            </w:r>
          </w:p>
        </w:tc>
      </w:tr>
    </w:tbl>
    <w:p w:rsidR="00D02230" w:rsidRDefault="00D02230" w:rsidP="00D0223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D02230" w:rsidRDefault="00D02230" w:rsidP="00D0223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Trachea and main bronchi appears normal.</w:t>
      </w:r>
    </w:p>
    <w:p w:rsidR="00D02230" w:rsidRDefault="00D02230" w:rsidP="00D0223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D02230" w:rsidRDefault="00D02230" w:rsidP="00D0223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Visualised portion of oesophagus appears normal.</w:t>
      </w:r>
    </w:p>
    <w:p w:rsidR="00D02230" w:rsidRDefault="00D02230" w:rsidP="00D0223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D02230" w:rsidRDefault="00D02230" w:rsidP="00D0223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No obvious pleural, pericardial effusion is noted.</w:t>
      </w:r>
      <w:r w:rsidR="00D11270">
        <w:rPr>
          <w:rFonts w:ascii="Arial" w:hAnsi="Arial" w:cs="Arial"/>
          <w:color w:val="000000"/>
          <w:sz w:val="22"/>
          <w:szCs w:val="22"/>
        </w:rPr>
        <w:t xml:space="preserve"> No mediastinal lymphadenopathy noted.</w:t>
      </w:r>
    </w:p>
    <w:p w:rsidR="00D02230" w:rsidRDefault="00D02230" w:rsidP="00D0223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D02230" w:rsidRPr="00E96FFF" w:rsidRDefault="00D02230" w:rsidP="00D02230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2"/>
          <w:szCs w:val="22"/>
        </w:rPr>
      </w:pPr>
      <w:r w:rsidRPr="00E96FFF">
        <w:rPr>
          <w:rFonts w:ascii="Arial" w:hAnsi="Arial" w:cs="Arial"/>
          <w:b/>
          <w:color w:val="000000"/>
          <w:sz w:val="22"/>
          <w:szCs w:val="22"/>
        </w:rPr>
        <w:t>Visualised bones show degenerative c</w:t>
      </w:r>
      <w:r w:rsidR="006977C4">
        <w:rPr>
          <w:rFonts w:ascii="Arial" w:hAnsi="Arial" w:cs="Arial"/>
          <w:b/>
          <w:color w:val="000000"/>
          <w:sz w:val="22"/>
          <w:szCs w:val="22"/>
        </w:rPr>
        <w:t>hanges in the form of marginal</w:t>
      </w:r>
      <w:r w:rsidR="00AF449A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Pr="00E96FFF">
        <w:rPr>
          <w:rFonts w:ascii="Arial" w:hAnsi="Arial" w:cs="Arial"/>
          <w:b/>
          <w:color w:val="000000"/>
          <w:sz w:val="22"/>
          <w:szCs w:val="22"/>
        </w:rPr>
        <w:t xml:space="preserve">osteophytes in </w:t>
      </w:r>
      <w:r w:rsidR="006977C4">
        <w:rPr>
          <w:rFonts w:ascii="Arial" w:hAnsi="Arial" w:cs="Arial"/>
          <w:b/>
          <w:color w:val="000000"/>
          <w:sz w:val="22"/>
          <w:szCs w:val="22"/>
        </w:rPr>
        <w:t>lower thoracic</w:t>
      </w:r>
      <w:r w:rsidR="006977C4" w:rsidRPr="00E96FFF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Pr="00E96FFF">
        <w:rPr>
          <w:rFonts w:ascii="Arial" w:hAnsi="Arial" w:cs="Arial"/>
          <w:b/>
          <w:color w:val="000000"/>
          <w:sz w:val="22"/>
          <w:szCs w:val="22"/>
        </w:rPr>
        <w:t>spine.</w:t>
      </w:r>
    </w:p>
    <w:p w:rsidR="00D02230" w:rsidRDefault="00D02230" w:rsidP="00D0223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D02230" w:rsidRPr="00B63FC5" w:rsidRDefault="00D02230" w:rsidP="00D0223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liver, spleen, pancreas and supra renal.</w:t>
      </w:r>
    </w:p>
    <w:p w:rsidR="00D02230" w:rsidRPr="00B63FC5" w:rsidRDefault="00D02230" w:rsidP="00D02230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D02230" w:rsidRPr="00C1131E" w:rsidRDefault="00D02230" w:rsidP="00D02230">
      <w:pPr>
        <w:autoSpaceDE w:val="0"/>
        <w:autoSpaceDN w:val="0"/>
        <w:adjustRightInd w:val="0"/>
        <w:ind w:left="2160" w:hanging="1710"/>
        <w:rPr>
          <w:rFonts w:ascii="Arial" w:hAnsi="Arial" w:cs="Arial"/>
          <w:i/>
          <w:iCs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>
        <w:rPr>
          <w:rFonts w:ascii="Arial" w:hAnsi="Arial" w:cs="Arial"/>
          <w:b/>
          <w:color w:val="000000"/>
          <w:sz w:val="22"/>
          <w:szCs w:val="22"/>
        </w:rPr>
        <w:tab/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 xml:space="preserve">Above findings suggests likely 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classic / probable </w:t>
      </w:r>
      <w:r w:rsidR="0067096A">
        <w:rPr>
          <w:rFonts w:ascii="Arial" w:hAnsi="Arial" w:cs="Arial"/>
          <w:b/>
          <w:i/>
          <w:color w:val="000000"/>
          <w:sz w:val="22"/>
          <w:szCs w:val="22"/>
        </w:rPr>
        <w:t xml:space="preserve">peak 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stage of </w:t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 xml:space="preserve">COVID-19 infection </w:t>
      </w:r>
      <w:r w:rsidR="00D11270" w:rsidRPr="00C1131E">
        <w:rPr>
          <w:rFonts w:ascii="Arial" w:hAnsi="Arial" w:cs="Arial"/>
          <w:b/>
          <w:i/>
          <w:color w:val="000000"/>
          <w:sz w:val="22"/>
          <w:szCs w:val="22"/>
        </w:rPr>
        <w:t>(</w:t>
      </w:r>
      <w:r w:rsidR="006977C4">
        <w:rPr>
          <w:rFonts w:ascii="Arial" w:hAnsi="Arial" w:cs="Arial"/>
          <w:b/>
          <w:i/>
          <w:color w:val="000000"/>
          <w:sz w:val="22"/>
          <w:szCs w:val="22"/>
        </w:rPr>
        <w:t xml:space="preserve">CT- SS – </w:t>
      </w:r>
      <w:r w:rsidR="00D11270">
        <w:rPr>
          <w:rFonts w:ascii="Arial" w:hAnsi="Arial" w:cs="Arial"/>
          <w:b/>
          <w:i/>
          <w:color w:val="000000"/>
          <w:sz w:val="22"/>
          <w:szCs w:val="22"/>
        </w:rPr>
        <w:t>9</w:t>
      </w:r>
      <w:r>
        <w:rPr>
          <w:rFonts w:ascii="Arial" w:hAnsi="Arial" w:cs="Arial"/>
          <w:b/>
          <w:i/>
          <w:color w:val="000000"/>
          <w:sz w:val="22"/>
          <w:szCs w:val="22"/>
        </w:rPr>
        <w:t>/25</w:t>
      </w:r>
      <w:r w:rsidR="00D11270">
        <w:rPr>
          <w:rFonts w:ascii="Arial" w:hAnsi="Arial" w:cs="Arial"/>
          <w:b/>
          <w:i/>
          <w:color w:val="000000"/>
          <w:sz w:val="22"/>
          <w:szCs w:val="22"/>
        </w:rPr>
        <w:t xml:space="preserve">, viral extent – </w:t>
      </w:r>
      <w:r w:rsidR="006245D7">
        <w:rPr>
          <w:rFonts w:ascii="Arial" w:hAnsi="Arial" w:cs="Arial"/>
          <w:b/>
          <w:i/>
          <w:color w:val="000000"/>
          <w:sz w:val="22"/>
          <w:szCs w:val="22"/>
        </w:rPr>
        <w:t>25-50</w:t>
      </w:r>
      <w:r w:rsidR="00D11270">
        <w:rPr>
          <w:rFonts w:ascii="Arial" w:hAnsi="Arial" w:cs="Arial"/>
          <w:b/>
          <w:i/>
          <w:color w:val="000000"/>
          <w:sz w:val="22"/>
          <w:szCs w:val="22"/>
        </w:rPr>
        <w:t>%</w:t>
      </w:r>
      <w:r>
        <w:rPr>
          <w:rFonts w:ascii="Arial" w:hAnsi="Arial" w:cs="Arial"/>
          <w:b/>
          <w:i/>
          <w:color w:val="000000"/>
          <w:sz w:val="22"/>
          <w:szCs w:val="22"/>
        </w:rPr>
        <w:t>) (CO</w:t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 xml:space="preserve">-RADS Grade – 5) – Advice clinical correlation 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with </w:t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>Swab test (RT-PCR).</w:t>
      </w:r>
    </w:p>
    <w:p w:rsidR="00D02230" w:rsidRDefault="00D02230" w:rsidP="00D02230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 xml:space="preserve"> </w:t>
      </w:r>
      <w:r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EB7390" w:rsidRPr="00B63FC5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D920AB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C005C"/>
    <w:rsid w:val="000C6A67"/>
    <w:rsid w:val="000D4222"/>
    <w:rsid w:val="000E5E98"/>
    <w:rsid w:val="000F0DC0"/>
    <w:rsid w:val="001113C0"/>
    <w:rsid w:val="001210B8"/>
    <w:rsid w:val="00143183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2CAC"/>
    <w:rsid w:val="002C0558"/>
    <w:rsid w:val="002C4414"/>
    <w:rsid w:val="002C5984"/>
    <w:rsid w:val="002D76DF"/>
    <w:rsid w:val="002F250B"/>
    <w:rsid w:val="002F3276"/>
    <w:rsid w:val="002F5A56"/>
    <w:rsid w:val="002F735E"/>
    <w:rsid w:val="002F7A0D"/>
    <w:rsid w:val="00303342"/>
    <w:rsid w:val="00313153"/>
    <w:rsid w:val="00340752"/>
    <w:rsid w:val="00342B62"/>
    <w:rsid w:val="0034353E"/>
    <w:rsid w:val="0037177E"/>
    <w:rsid w:val="00376691"/>
    <w:rsid w:val="00377589"/>
    <w:rsid w:val="0038775D"/>
    <w:rsid w:val="003A12BD"/>
    <w:rsid w:val="003A24B7"/>
    <w:rsid w:val="003B173E"/>
    <w:rsid w:val="003B17BF"/>
    <w:rsid w:val="003D4258"/>
    <w:rsid w:val="003E5AAF"/>
    <w:rsid w:val="003F42D3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2CDF"/>
    <w:rsid w:val="004C524D"/>
    <w:rsid w:val="004D7181"/>
    <w:rsid w:val="004F0BA1"/>
    <w:rsid w:val="00507669"/>
    <w:rsid w:val="00571DA2"/>
    <w:rsid w:val="00583BF1"/>
    <w:rsid w:val="005A2BD4"/>
    <w:rsid w:val="005A7D91"/>
    <w:rsid w:val="005B0645"/>
    <w:rsid w:val="005B53FE"/>
    <w:rsid w:val="005C3285"/>
    <w:rsid w:val="005C5C36"/>
    <w:rsid w:val="005F2AEC"/>
    <w:rsid w:val="00603215"/>
    <w:rsid w:val="00604489"/>
    <w:rsid w:val="0060781B"/>
    <w:rsid w:val="0061609B"/>
    <w:rsid w:val="006245D7"/>
    <w:rsid w:val="00625367"/>
    <w:rsid w:val="00635C0C"/>
    <w:rsid w:val="00644F59"/>
    <w:rsid w:val="0067096A"/>
    <w:rsid w:val="00677AB0"/>
    <w:rsid w:val="0068564B"/>
    <w:rsid w:val="00693FAE"/>
    <w:rsid w:val="006977C4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357FF"/>
    <w:rsid w:val="007608B6"/>
    <w:rsid w:val="007822FF"/>
    <w:rsid w:val="007B59CD"/>
    <w:rsid w:val="007B6379"/>
    <w:rsid w:val="007B6EAA"/>
    <w:rsid w:val="007C39BF"/>
    <w:rsid w:val="007C5611"/>
    <w:rsid w:val="007D3687"/>
    <w:rsid w:val="007E52CD"/>
    <w:rsid w:val="0081015A"/>
    <w:rsid w:val="0084781B"/>
    <w:rsid w:val="00854DF5"/>
    <w:rsid w:val="00870344"/>
    <w:rsid w:val="00882861"/>
    <w:rsid w:val="008D5AF1"/>
    <w:rsid w:val="008D6F16"/>
    <w:rsid w:val="008E47A4"/>
    <w:rsid w:val="008F4FA4"/>
    <w:rsid w:val="008F7A0C"/>
    <w:rsid w:val="0090083B"/>
    <w:rsid w:val="00924951"/>
    <w:rsid w:val="009276B7"/>
    <w:rsid w:val="00974015"/>
    <w:rsid w:val="00A03494"/>
    <w:rsid w:val="00A06B47"/>
    <w:rsid w:val="00A15487"/>
    <w:rsid w:val="00A23011"/>
    <w:rsid w:val="00A34E09"/>
    <w:rsid w:val="00A36AA7"/>
    <w:rsid w:val="00A44D8F"/>
    <w:rsid w:val="00A502A3"/>
    <w:rsid w:val="00A75051"/>
    <w:rsid w:val="00A82D8E"/>
    <w:rsid w:val="00AE4DFE"/>
    <w:rsid w:val="00AF449A"/>
    <w:rsid w:val="00AF7958"/>
    <w:rsid w:val="00B06729"/>
    <w:rsid w:val="00B1409D"/>
    <w:rsid w:val="00B2060A"/>
    <w:rsid w:val="00B25461"/>
    <w:rsid w:val="00B44646"/>
    <w:rsid w:val="00B46AB1"/>
    <w:rsid w:val="00B51BC7"/>
    <w:rsid w:val="00B63FC5"/>
    <w:rsid w:val="00B751C1"/>
    <w:rsid w:val="00B91DF6"/>
    <w:rsid w:val="00BD0B5B"/>
    <w:rsid w:val="00BE3017"/>
    <w:rsid w:val="00BE5947"/>
    <w:rsid w:val="00BE74CF"/>
    <w:rsid w:val="00C1583D"/>
    <w:rsid w:val="00C26C7A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3E64"/>
    <w:rsid w:val="00D02230"/>
    <w:rsid w:val="00D10224"/>
    <w:rsid w:val="00D11270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F257A"/>
    <w:rsid w:val="00E23243"/>
    <w:rsid w:val="00E255E0"/>
    <w:rsid w:val="00E40AB0"/>
    <w:rsid w:val="00E415CD"/>
    <w:rsid w:val="00E4242A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37CC8"/>
    <w:rsid w:val="00F41BF3"/>
    <w:rsid w:val="00F4609C"/>
    <w:rsid w:val="00F67C19"/>
    <w:rsid w:val="00F75222"/>
    <w:rsid w:val="00F774B4"/>
    <w:rsid w:val="00F91B20"/>
    <w:rsid w:val="00FA05A2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D0223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5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7</cp:revision>
  <cp:lastPrinted>2020-08-28T12:08:00Z</cp:lastPrinted>
  <dcterms:created xsi:type="dcterms:W3CDTF">2020-08-28T13:53:00Z</dcterms:created>
  <dcterms:modified xsi:type="dcterms:W3CDTF">2021-06-24T06:03:00Z</dcterms:modified>
</cp:coreProperties>
</file>