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C56106" w:rsidRPr="00C56106" w:rsidRDefault="00C56106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20EE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PODO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20EE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80 /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20EE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SANJEEV KUMAR   M.B.B.S,C.A.S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20EE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27.06.2024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proofErr w:type="gramStart"/>
      <w:r w:rsidR="008E47A4" w:rsidRPr="00B63FC5">
        <w:rPr>
          <w:rFonts w:ascii="Arial" w:hAnsi="Arial" w:cs="Arial"/>
          <w:color w:val="000000"/>
          <w:sz w:val="22"/>
          <w:szCs w:val="22"/>
        </w:rPr>
        <w:t>Scan</w:t>
      </w:r>
      <w:proofErr w:type="gramEnd"/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C56106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A16F4F" w:rsidRDefault="00FF134D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Fibroatelectatic changes are</w:t>
      </w:r>
      <w:r w:rsidR="00A16F4F">
        <w:rPr>
          <w:rFonts w:ascii="Arial" w:hAnsi="Arial" w:cs="Arial"/>
          <w:color w:val="000000"/>
          <w:sz w:val="22"/>
          <w:szCs w:val="22"/>
        </w:rPr>
        <w:t xml:space="preserve"> noted in bilateral lower lobes.</w:t>
      </w:r>
    </w:p>
    <w:p w:rsidR="00A16F4F" w:rsidRDefault="00A16F4F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C56106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A502A3"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roncho-vascular markings. </w:t>
      </w:r>
      <w:r w:rsidR="00725726">
        <w:rPr>
          <w:rFonts w:ascii="Arial" w:hAnsi="Arial" w:cs="Arial"/>
          <w:color w:val="000000"/>
          <w:sz w:val="22"/>
          <w:szCs w:val="22"/>
        </w:rPr>
        <w:t>Normal i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nterlobular and intralobular septae are noted. Major and minor fissure appear normal. No calcification or SOL is noted in lung.</w:t>
      </w:r>
    </w:p>
    <w:p w:rsidR="008E47A4" w:rsidRPr="00B63FC5" w:rsidRDefault="008E47A4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8E47A4" w:rsidRPr="00B63FC5" w:rsidRDefault="008E47A4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8E00AE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B63FC5" w:rsidRDefault="008E47A4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8E47A4" w:rsidRPr="00B63FC5" w:rsidRDefault="008E47A4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8E47A4" w:rsidRPr="00B63FC5" w:rsidRDefault="008E47A4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8E47A4" w:rsidRPr="00B63FC5" w:rsidRDefault="00806B41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Pleural thickening is noted in the bilateral lower lobe region.</w:t>
      </w:r>
    </w:p>
    <w:p w:rsidR="008E47A4" w:rsidRPr="00B63FC5" w:rsidRDefault="008E47A4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806B41" w:rsidRDefault="00462F39" w:rsidP="00806B41">
      <w:pPr>
        <w:autoSpaceDE w:val="0"/>
        <w:autoSpaceDN w:val="0"/>
        <w:adjustRightInd w:val="0"/>
        <w:ind w:left="45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Lytic </w:t>
      </w:r>
      <w:r w:rsidRPr="00F46E2C">
        <w:rPr>
          <w:rFonts w:ascii="Arial" w:hAnsi="Arial" w:cs="Arial"/>
          <w:sz w:val="22"/>
          <w:szCs w:val="22"/>
        </w:rPr>
        <w:t>destruction</w:t>
      </w:r>
      <w:r w:rsidR="00795719" w:rsidRPr="00F46E2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are</w:t>
      </w:r>
      <w:r w:rsidR="00795719">
        <w:rPr>
          <w:rFonts w:ascii="Arial" w:hAnsi="Arial" w:cs="Arial"/>
          <w:sz w:val="22"/>
          <w:szCs w:val="22"/>
        </w:rPr>
        <w:t xml:space="preserve"> noted in </w:t>
      </w:r>
      <w:r>
        <w:rPr>
          <w:rFonts w:ascii="Arial" w:hAnsi="Arial" w:cs="Arial"/>
          <w:sz w:val="22"/>
          <w:szCs w:val="22"/>
        </w:rPr>
        <w:t>the inferior part of T6 and superior part of T7</w:t>
      </w:r>
      <w:r w:rsidR="00795719">
        <w:rPr>
          <w:rFonts w:ascii="Arial" w:hAnsi="Arial" w:cs="Arial"/>
          <w:sz w:val="22"/>
          <w:szCs w:val="22"/>
        </w:rPr>
        <w:t xml:space="preserve"> vertebral body </w:t>
      </w:r>
      <w:r>
        <w:rPr>
          <w:rFonts w:ascii="Arial" w:hAnsi="Arial" w:cs="Arial"/>
          <w:sz w:val="22"/>
          <w:szCs w:val="22"/>
        </w:rPr>
        <w:t>including its endplate.</w:t>
      </w:r>
      <w:r w:rsidR="00806B41">
        <w:rPr>
          <w:rFonts w:ascii="Arial" w:hAnsi="Arial" w:cs="Arial"/>
          <w:sz w:val="22"/>
          <w:szCs w:val="22"/>
        </w:rPr>
        <w:t xml:space="preserve"> Soft tissue density with</w:t>
      </w:r>
      <w:r w:rsidR="00806B41" w:rsidRPr="00F46E2C">
        <w:rPr>
          <w:rFonts w:ascii="Arial" w:hAnsi="Arial" w:cs="Arial"/>
          <w:sz w:val="22"/>
          <w:szCs w:val="22"/>
        </w:rPr>
        <w:t xml:space="preserve"> altered attenuation is seen in prevertebral and bilateral parave</w:t>
      </w:r>
      <w:r w:rsidR="00806B41">
        <w:rPr>
          <w:rFonts w:ascii="Arial" w:hAnsi="Arial" w:cs="Arial"/>
          <w:sz w:val="22"/>
          <w:szCs w:val="22"/>
        </w:rPr>
        <w:t xml:space="preserve">rtebral region at the level of T6 – T7. </w:t>
      </w:r>
      <w:r w:rsidR="00806B41" w:rsidRPr="00F46E2C">
        <w:rPr>
          <w:rFonts w:ascii="Arial" w:hAnsi="Arial" w:cs="Arial"/>
          <w:sz w:val="22"/>
          <w:szCs w:val="22"/>
        </w:rPr>
        <w:t>There is disruption of posterior longitudinal ligam</w:t>
      </w:r>
      <w:r w:rsidR="00806B41">
        <w:rPr>
          <w:rFonts w:ascii="Arial" w:hAnsi="Arial" w:cs="Arial"/>
          <w:sz w:val="22"/>
          <w:szCs w:val="22"/>
        </w:rPr>
        <w:t>ent with anterior epidural (T6-T7</w:t>
      </w:r>
      <w:r w:rsidR="00806B41" w:rsidRPr="00F46E2C">
        <w:rPr>
          <w:rFonts w:ascii="Arial" w:hAnsi="Arial" w:cs="Arial"/>
          <w:sz w:val="22"/>
          <w:szCs w:val="22"/>
        </w:rPr>
        <w:t xml:space="preserve"> level) </w:t>
      </w:r>
      <w:r w:rsidR="00806B41">
        <w:rPr>
          <w:rFonts w:ascii="Arial" w:hAnsi="Arial" w:cs="Arial"/>
          <w:sz w:val="22"/>
          <w:szCs w:val="22"/>
        </w:rPr>
        <w:t>with soft tissue density with</w:t>
      </w:r>
      <w:r w:rsidR="00806B41" w:rsidRPr="00F46E2C">
        <w:rPr>
          <w:rFonts w:ascii="Arial" w:hAnsi="Arial" w:cs="Arial"/>
          <w:sz w:val="22"/>
          <w:szCs w:val="22"/>
        </w:rPr>
        <w:t xml:space="preserve"> altered attenuation ca</w:t>
      </w:r>
      <w:r w:rsidR="00806B41">
        <w:rPr>
          <w:rFonts w:ascii="Arial" w:hAnsi="Arial" w:cs="Arial"/>
          <w:sz w:val="22"/>
          <w:szCs w:val="22"/>
        </w:rPr>
        <w:t>using indentation of thecal sac.</w:t>
      </w:r>
    </w:p>
    <w:p w:rsidR="008E47A4" w:rsidRPr="00B63FC5" w:rsidRDefault="008E47A4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795719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density is seen in the </w:t>
      </w:r>
      <w:r w:rsidR="007E3C62">
        <w:rPr>
          <w:rFonts w:ascii="Arial" w:hAnsi="Arial" w:cs="Arial"/>
          <w:color w:val="000000"/>
          <w:sz w:val="22"/>
          <w:szCs w:val="22"/>
        </w:rPr>
        <w:t xml:space="preserve">visualised </w:t>
      </w:r>
      <w:r w:rsidRPr="00B63FC5">
        <w:rPr>
          <w:rFonts w:ascii="Arial" w:hAnsi="Arial" w:cs="Arial"/>
          <w:color w:val="000000"/>
          <w:sz w:val="22"/>
          <w:szCs w:val="22"/>
        </w:rPr>
        <w:t>li</w:t>
      </w:r>
      <w:r w:rsidR="00AE56B2">
        <w:rPr>
          <w:rFonts w:ascii="Arial" w:hAnsi="Arial" w:cs="Arial"/>
          <w:color w:val="000000"/>
          <w:sz w:val="22"/>
          <w:szCs w:val="22"/>
        </w:rPr>
        <w:t>ver, spleen, pancreas and supra</w:t>
      </w:r>
      <w:r w:rsidRPr="00B63FC5">
        <w:rPr>
          <w:rFonts w:ascii="Arial" w:hAnsi="Arial" w:cs="Arial"/>
          <w:color w:val="000000"/>
          <w:sz w:val="22"/>
          <w:szCs w:val="22"/>
        </w:rPr>
        <w:t>renal.</w:t>
      </w:r>
    </w:p>
    <w:p w:rsidR="008E47A4" w:rsidRPr="00B63FC5" w:rsidRDefault="008E47A4" w:rsidP="00795719">
      <w:pPr>
        <w:autoSpaceDE w:val="0"/>
        <w:autoSpaceDN w:val="0"/>
        <w:adjustRightInd w:val="0"/>
        <w:ind w:left="450"/>
        <w:jc w:val="both"/>
        <w:rPr>
          <w:rFonts w:ascii="Arial" w:hAnsi="Arial" w:cs="Arial"/>
          <w:color w:val="000000"/>
          <w:sz w:val="22"/>
          <w:szCs w:val="22"/>
        </w:rPr>
      </w:pPr>
    </w:p>
    <w:p w:rsidR="008E47A4" w:rsidRPr="00C56106" w:rsidRDefault="008E47A4" w:rsidP="00795719">
      <w:pPr>
        <w:autoSpaceDE w:val="0"/>
        <w:autoSpaceDN w:val="0"/>
        <w:adjustRightInd w:val="0"/>
        <w:ind w:left="450"/>
        <w:jc w:val="both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C56106" w:rsidRPr="00C56106">
        <w:rPr>
          <w:rFonts w:ascii="Arial" w:hAnsi="Arial" w:cs="Arial"/>
          <w:b/>
          <w:i/>
          <w:color w:val="000000"/>
        </w:rPr>
        <w:t>i</w:t>
      </w:r>
      <w:proofErr w:type="spellEnd"/>
      <w:r w:rsidR="00C56106" w:rsidRPr="00C56106">
        <w:rPr>
          <w:rFonts w:ascii="Arial" w:hAnsi="Arial" w:cs="Arial"/>
          <w:b/>
          <w:i/>
          <w:color w:val="000000"/>
        </w:rPr>
        <w:t xml:space="preserve">) </w:t>
      </w:r>
      <w:r w:rsidR="00C56106" w:rsidRPr="00C56106">
        <w:rPr>
          <w:rFonts w:ascii="Arial" w:hAnsi="Arial" w:cs="Arial"/>
          <w:b/>
          <w:i/>
          <w:color w:val="000000"/>
          <w:sz w:val="22"/>
          <w:szCs w:val="22"/>
        </w:rPr>
        <w:t>Fibroatelectatic changes</w:t>
      </w:r>
      <w:r w:rsidR="00C56106">
        <w:rPr>
          <w:rFonts w:ascii="Arial" w:hAnsi="Arial" w:cs="Arial"/>
          <w:b/>
          <w:i/>
          <w:color w:val="000000"/>
          <w:sz w:val="22"/>
          <w:szCs w:val="22"/>
        </w:rPr>
        <w:t xml:space="preserve"> with p</w:t>
      </w:r>
      <w:r w:rsidR="00C56106" w:rsidRPr="00C56106">
        <w:rPr>
          <w:rFonts w:ascii="Arial" w:hAnsi="Arial" w:cs="Arial"/>
          <w:b/>
          <w:i/>
          <w:color w:val="000000"/>
          <w:sz w:val="22"/>
          <w:szCs w:val="22"/>
        </w:rPr>
        <w:t>leural thickening in bilateral lower lobes</w:t>
      </w:r>
      <w:r w:rsidRPr="00C56106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</w:p>
    <w:p w:rsidR="00EB7390" w:rsidRPr="00C56106" w:rsidRDefault="00C56106" w:rsidP="00C56106">
      <w:pPr>
        <w:autoSpaceDE w:val="0"/>
        <w:autoSpaceDN w:val="0"/>
        <w:adjustRightInd w:val="0"/>
        <w:ind w:left="2160"/>
        <w:rPr>
          <w:rFonts w:ascii="Arial" w:hAnsi="Arial" w:cs="Arial"/>
          <w:b/>
          <w:i/>
          <w:iCs/>
          <w:sz w:val="22"/>
          <w:szCs w:val="22"/>
        </w:rPr>
      </w:pPr>
      <w:r w:rsidRPr="00C56106">
        <w:rPr>
          <w:rFonts w:ascii="Arial" w:hAnsi="Arial" w:cs="Arial"/>
          <w:b/>
          <w:i/>
          <w:iCs/>
          <w:sz w:val="22"/>
          <w:szCs w:val="22"/>
        </w:rPr>
        <w:t xml:space="preserve">ii) </w:t>
      </w:r>
      <w:r w:rsidRPr="00C56106">
        <w:rPr>
          <w:rFonts w:ascii="Arial" w:hAnsi="Arial" w:cs="Arial"/>
          <w:b/>
          <w:i/>
          <w:sz w:val="22"/>
          <w:szCs w:val="22"/>
        </w:rPr>
        <w:t>Lytic destruction in inferior part of T6 and superior part of T7 vertebral body including its endplate with soft tissue density with altered attenuation in prevertebral and bilateral paravertebral  &amp; anterior epidural region at level of T6 – T7 (Phlegmon / a</w:t>
      </w:r>
      <w:r>
        <w:rPr>
          <w:rFonts w:ascii="Arial" w:hAnsi="Arial" w:cs="Arial"/>
          <w:b/>
          <w:i/>
          <w:sz w:val="22"/>
          <w:szCs w:val="22"/>
        </w:rPr>
        <w:t>bscess) –</w:t>
      </w:r>
      <w:r w:rsidR="00DE4AFC">
        <w:rPr>
          <w:rFonts w:ascii="Arial" w:hAnsi="Arial" w:cs="Arial"/>
          <w:b/>
          <w:i/>
          <w:sz w:val="22"/>
          <w:szCs w:val="22"/>
        </w:rPr>
        <w:t xml:space="preserve"> Spondylodiskitis (? Tubercular D/D: Pyogenic) – Suggested contrast study of better </w:t>
      </w:r>
      <w:r w:rsidR="003139EE">
        <w:rPr>
          <w:rFonts w:ascii="Arial" w:hAnsi="Arial" w:cs="Arial"/>
          <w:b/>
          <w:i/>
          <w:sz w:val="22"/>
          <w:szCs w:val="22"/>
        </w:rPr>
        <w:t>evaluation</w:t>
      </w:r>
      <w:r w:rsidR="00DE4AFC">
        <w:rPr>
          <w:rFonts w:ascii="Arial" w:hAnsi="Arial" w:cs="Arial"/>
          <w:b/>
          <w:i/>
          <w:sz w:val="22"/>
          <w:szCs w:val="22"/>
        </w:rPr>
        <w:t>.</w:t>
      </w: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51A53"/>
    <w:rsid w:val="0016423B"/>
    <w:rsid w:val="0016733E"/>
    <w:rsid w:val="001910CD"/>
    <w:rsid w:val="00194FBF"/>
    <w:rsid w:val="001B0216"/>
    <w:rsid w:val="001B064C"/>
    <w:rsid w:val="001B1B57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139EE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2F39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7669"/>
    <w:rsid w:val="00571DA2"/>
    <w:rsid w:val="00583BF1"/>
    <w:rsid w:val="005A7D91"/>
    <w:rsid w:val="005B0645"/>
    <w:rsid w:val="005B53FE"/>
    <w:rsid w:val="005C3285"/>
    <w:rsid w:val="005F1DBC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25726"/>
    <w:rsid w:val="007357FF"/>
    <w:rsid w:val="007822FF"/>
    <w:rsid w:val="00795719"/>
    <w:rsid w:val="007B59CD"/>
    <w:rsid w:val="007B6379"/>
    <w:rsid w:val="007C5611"/>
    <w:rsid w:val="007D3687"/>
    <w:rsid w:val="007E3C62"/>
    <w:rsid w:val="00806B41"/>
    <w:rsid w:val="00822AA4"/>
    <w:rsid w:val="0084781B"/>
    <w:rsid w:val="00854DF5"/>
    <w:rsid w:val="00870344"/>
    <w:rsid w:val="00882861"/>
    <w:rsid w:val="008D5AF1"/>
    <w:rsid w:val="008D6F16"/>
    <w:rsid w:val="008E00AE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16F4F"/>
    <w:rsid w:val="00A21853"/>
    <w:rsid w:val="00A23011"/>
    <w:rsid w:val="00A34E09"/>
    <w:rsid w:val="00A36AA7"/>
    <w:rsid w:val="00A44D8F"/>
    <w:rsid w:val="00A502A3"/>
    <w:rsid w:val="00A82D8E"/>
    <w:rsid w:val="00AB66CF"/>
    <w:rsid w:val="00AE4DFE"/>
    <w:rsid w:val="00AE56B2"/>
    <w:rsid w:val="00AF0753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6C7A"/>
    <w:rsid w:val="00C36B3B"/>
    <w:rsid w:val="00C46A50"/>
    <w:rsid w:val="00C56106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0EEA"/>
    <w:rsid w:val="00D24FCA"/>
    <w:rsid w:val="00D27697"/>
    <w:rsid w:val="00D362A6"/>
    <w:rsid w:val="00D46287"/>
    <w:rsid w:val="00D578E7"/>
    <w:rsid w:val="00D62237"/>
    <w:rsid w:val="00D64CC8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E4AFC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C0876"/>
    <w:rsid w:val="00FC44FC"/>
    <w:rsid w:val="00FC60E2"/>
    <w:rsid w:val="00FC71B6"/>
    <w:rsid w:val="00FC7BF0"/>
    <w:rsid w:val="00FE3304"/>
    <w:rsid w:val="00FF13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2024-06-27T14:23:00Z</cp:lastPrinted>
  <dcterms:created xsi:type="dcterms:W3CDTF">2024-06-30T13:12:00Z</dcterms:created>
  <dcterms:modified xsi:type="dcterms:W3CDTF">2024-06-30T13:12:00Z</dcterms:modified>
</cp:coreProperties>
</file>