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p w:rsidR="00354D8B" w:rsidRPr="00354D8B" w:rsidRDefault="00354D8B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C553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TULSHI AGARWAL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C553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0784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 M.D.,D.T.C.D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C553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D229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Pr="00DD71C8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4"/>
          <w:szCs w:val="20"/>
          <w:u w:val="single"/>
        </w:rPr>
      </w:pPr>
    </w:p>
    <w:p w:rsidR="00DF2E51" w:rsidRPr="00B63FC5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scan of the Thorax has been done from apices to base and seen in various soft tissue windows. </w:t>
      </w:r>
    </w:p>
    <w:p w:rsidR="00DF2E51" w:rsidRPr="00B63FC5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F2E51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Bilateral diffuse peripheral, subpleural and non-lobar distribution of ground glass opacities with septal thickening (crazy paving pattern) are seen in lung parenchyma predominantly in lower lobes. </w:t>
      </w:r>
    </w:p>
    <w:p w:rsidR="00A752FA" w:rsidRDefault="00A752FA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F2E51" w:rsidRPr="00C1131E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 w:rsidRPr="00C1131E"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793C51" w:rsidRDefault="00793C51" w:rsidP="00793C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</w:p>
    <w:p w:rsidR="00DF2E51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10282" w:type="dxa"/>
        <w:tblInd w:w="558" w:type="dxa"/>
        <w:tblLook w:val="04A0"/>
      </w:tblPr>
      <w:tblGrid>
        <w:gridCol w:w="2904"/>
        <w:gridCol w:w="4656"/>
        <w:gridCol w:w="2722"/>
      </w:tblGrid>
      <w:tr w:rsidR="00DF2E51" w:rsidTr="00863654">
        <w:tc>
          <w:tcPr>
            <w:tcW w:w="2904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656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722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DF2E51" w:rsidTr="00863654">
        <w:tc>
          <w:tcPr>
            <w:tcW w:w="2904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656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</w:t>
            </w:r>
            <w:r w:rsidR="00DF2E51">
              <w:rPr>
                <w:rFonts w:ascii="Arial" w:hAnsi="Arial" w:cs="Arial"/>
                <w:color w:val="000000"/>
              </w:rPr>
              <w:t>05%</w:t>
            </w:r>
          </w:p>
        </w:tc>
        <w:tc>
          <w:tcPr>
            <w:tcW w:w="2722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DF2E51" w:rsidTr="00863654">
        <w:trPr>
          <w:trHeight w:val="298"/>
        </w:trPr>
        <w:tc>
          <w:tcPr>
            <w:tcW w:w="2904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656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5%</w:t>
            </w:r>
            <w:r w:rsidR="00A752FA">
              <w:rPr>
                <w:rFonts w:ascii="Arial" w:hAnsi="Arial" w:cs="Arial"/>
                <w:color w:val="000000"/>
              </w:rPr>
              <w:t>-25%</w:t>
            </w:r>
          </w:p>
        </w:tc>
        <w:tc>
          <w:tcPr>
            <w:tcW w:w="2722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DF2E51" w:rsidTr="00863654">
        <w:trPr>
          <w:trHeight w:val="298"/>
        </w:trPr>
        <w:tc>
          <w:tcPr>
            <w:tcW w:w="2904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656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</w:t>
            </w:r>
            <w:r w:rsidR="00DF2E51">
              <w:rPr>
                <w:rFonts w:ascii="Arial" w:hAnsi="Arial" w:cs="Arial"/>
                <w:color w:val="000000"/>
              </w:rPr>
              <w:t>%</w:t>
            </w:r>
          </w:p>
        </w:tc>
        <w:tc>
          <w:tcPr>
            <w:tcW w:w="2722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DF2E51" w:rsidTr="00863654">
        <w:tc>
          <w:tcPr>
            <w:tcW w:w="2904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ling lobe</w:t>
            </w:r>
          </w:p>
        </w:tc>
        <w:tc>
          <w:tcPr>
            <w:tcW w:w="4656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&lt;05%</w:t>
            </w:r>
          </w:p>
        </w:tc>
        <w:tc>
          <w:tcPr>
            <w:tcW w:w="2722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DF2E51" w:rsidTr="00863654">
        <w:tc>
          <w:tcPr>
            <w:tcW w:w="2904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656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&lt;05%</w:t>
            </w:r>
          </w:p>
        </w:tc>
        <w:tc>
          <w:tcPr>
            <w:tcW w:w="2722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DF2E51" w:rsidTr="00863654">
        <w:trPr>
          <w:gridAfter w:val="1"/>
          <w:wAfter w:w="2722" w:type="dxa"/>
        </w:trPr>
        <w:tc>
          <w:tcPr>
            <w:tcW w:w="2904" w:type="dxa"/>
          </w:tcPr>
          <w:p w:rsidR="00DF2E51" w:rsidRDefault="00DF2E5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4656" w:type="dxa"/>
          </w:tcPr>
          <w:p w:rsidR="00DF2E51" w:rsidRDefault="00A752FA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out of 25</w:t>
            </w:r>
          </w:p>
        </w:tc>
      </w:tr>
    </w:tbl>
    <w:p w:rsidR="00DF2E51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F2E51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DF2E51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F2E51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Visualised portion of oesophagus appears normal.</w:t>
      </w:r>
    </w:p>
    <w:p w:rsidR="00DF2E51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F2E51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obvious pleural, pericardial effusion is noted. No mediastinal lymphadenopathy noted.</w:t>
      </w:r>
    </w:p>
    <w:p w:rsidR="00DF2E51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F2E51" w:rsidRPr="00B63FC5" w:rsidRDefault="00DF2E51" w:rsidP="00DF2E51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DF2E51" w:rsidRPr="00B63FC5" w:rsidRDefault="00DF2E51" w:rsidP="00DF2E51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DF2E51" w:rsidRPr="00C1131E" w:rsidRDefault="00DF2E51" w:rsidP="00DF2E51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likely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classic / probable </w:t>
      </w:r>
      <w:r w:rsidR="000A7154">
        <w:rPr>
          <w:rFonts w:ascii="Arial" w:hAnsi="Arial" w:cs="Arial"/>
          <w:b/>
          <w:i/>
          <w:color w:val="000000"/>
          <w:sz w:val="22"/>
          <w:szCs w:val="22"/>
        </w:rPr>
        <w:t>early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stage of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COVID-19 infection (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CT- SS – </w:t>
      </w:r>
      <w:r w:rsidR="00A752FA">
        <w:rPr>
          <w:rFonts w:ascii="Arial" w:hAnsi="Arial" w:cs="Arial"/>
          <w:b/>
          <w:i/>
          <w:color w:val="000000"/>
          <w:sz w:val="22"/>
          <w:szCs w:val="22"/>
        </w:rPr>
        <w:t>8</w:t>
      </w:r>
      <w:r>
        <w:rPr>
          <w:rFonts w:ascii="Arial" w:hAnsi="Arial" w:cs="Arial"/>
          <w:b/>
          <w:i/>
          <w:color w:val="000000"/>
          <w:sz w:val="22"/>
          <w:szCs w:val="22"/>
        </w:rPr>
        <w:t>/25, viral extent – 25-50%) (CO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-RADS Grade – 5) – Advice clinical correlation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Swab test (RT-PCR).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76264"/>
    <w:rsid w:val="00085BC8"/>
    <w:rsid w:val="000A2225"/>
    <w:rsid w:val="000A7154"/>
    <w:rsid w:val="000C005C"/>
    <w:rsid w:val="000C6A67"/>
    <w:rsid w:val="000D4222"/>
    <w:rsid w:val="000E5E98"/>
    <w:rsid w:val="000F0DC0"/>
    <w:rsid w:val="00107849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C6769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F4A"/>
    <w:rsid w:val="002F22E8"/>
    <w:rsid w:val="002F250B"/>
    <w:rsid w:val="002F3276"/>
    <w:rsid w:val="002F735E"/>
    <w:rsid w:val="002F7A0D"/>
    <w:rsid w:val="00303342"/>
    <w:rsid w:val="00322E1A"/>
    <w:rsid w:val="00340752"/>
    <w:rsid w:val="00342B62"/>
    <w:rsid w:val="0034353E"/>
    <w:rsid w:val="00354D8B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E033F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5538"/>
    <w:rsid w:val="006C7D01"/>
    <w:rsid w:val="006E6DE9"/>
    <w:rsid w:val="006E740E"/>
    <w:rsid w:val="006F2E9B"/>
    <w:rsid w:val="0070275E"/>
    <w:rsid w:val="00711E99"/>
    <w:rsid w:val="00713F39"/>
    <w:rsid w:val="00714684"/>
    <w:rsid w:val="007357FF"/>
    <w:rsid w:val="007822FF"/>
    <w:rsid w:val="00793C51"/>
    <w:rsid w:val="007B59CD"/>
    <w:rsid w:val="007B6379"/>
    <w:rsid w:val="007C5611"/>
    <w:rsid w:val="007D3687"/>
    <w:rsid w:val="007E7364"/>
    <w:rsid w:val="00822549"/>
    <w:rsid w:val="0084781B"/>
    <w:rsid w:val="00854B89"/>
    <w:rsid w:val="00854DF5"/>
    <w:rsid w:val="00866954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0173"/>
    <w:rsid w:val="00A23011"/>
    <w:rsid w:val="00A34E09"/>
    <w:rsid w:val="00A36AA7"/>
    <w:rsid w:val="00A44D8F"/>
    <w:rsid w:val="00A502A3"/>
    <w:rsid w:val="00A752FA"/>
    <w:rsid w:val="00A82D8E"/>
    <w:rsid w:val="00A97F8F"/>
    <w:rsid w:val="00AD2293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1131E"/>
    <w:rsid w:val="00C26C7A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D71C8"/>
    <w:rsid w:val="00DF257A"/>
    <w:rsid w:val="00DF2E51"/>
    <w:rsid w:val="00E23243"/>
    <w:rsid w:val="00E255E0"/>
    <w:rsid w:val="00E40AB0"/>
    <w:rsid w:val="00E415CD"/>
    <w:rsid w:val="00E455C2"/>
    <w:rsid w:val="00E47B37"/>
    <w:rsid w:val="00E636F7"/>
    <w:rsid w:val="00E6748A"/>
    <w:rsid w:val="00E67C37"/>
    <w:rsid w:val="00E74301"/>
    <w:rsid w:val="00E76617"/>
    <w:rsid w:val="00E94CEC"/>
    <w:rsid w:val="00E96FFF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24C10"/>
    <w:rsid w:val="00F32F13"/>
    <w:rsid w:val="00F3318E"/>
    <w:rsid w:val="00F41BF3"/>
    <w:rsid w:val="00F4609C"/>
    <w:rsid w:val="00F67C19"/>
    <w:rsid w:val="00F75222"/>
    <w:rsid w:val="00F774B4"/>
    <w:rsid w:val="00F91B20"/>
    <w:rsid w:val="00FA4B71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FA4B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D69F3-53EB-4F03-A886-D6E36A1F7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7</cp:revision>
  <cp:lastPrinted>2020-09-14T13:54:00Z</cp:lastPrinted>
  <dcterms:created xsi:type="dcterms:W3CDTF">2020-09-14T11:23:00Z</dcterms:created>
  <dcterms:modified xsi:type="dcterms:W3CDTF">2021-06-24T06:05:00Z</dcterms:modified>
</cp:coreProperties>
</file>