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bidi w:val="1"/>
      </w:pPr>
      <w:r>
        <w:rPr>
          <w:rFonts w:ascii="Arial" w:hAnsi="Arial"/>
          <w:b/>
          <w:color w:val="0E7490"/>
          <w:sz w:val="40"/>
        </w:rPr>
        <w:t>تقرير التحكيم الأكاديمي الدولي ورؤية التطوير الاستراتيجية</w:t>
      </w:r>
    </w:p>
    <w:p>
      <w:pPr>
        <w:spacing w:before="0" w:after="280"/>
        <w:jc w:val="center"/>
        <w:bidi w:val="1"/>
      </w:pPr>
      <w:r>
        <w:rPr>
          <w:rFonts w:ascii="Arial" w:hAnsi="Arial"/>
          <w:b/>
          <w:color w:val="334155"/>
          <w:sz w:val="26"/>
        </w:rPr>
        <w:t>تقييم مقترح بحث أطروحة: توظيف تقنيات الواقع المعزز والافتراضي (AR/VR) كمنصات تفاعلية لمراجعة التصميم والإشراف الموقعي في ضوء منصة WebXR OpenBIM المطورة</w:t>
      </w:r>
    </w:p>
    <w:tbl>
      <w:tblPr>
        <w:tblW w:type="auto" w:w="0"/>
        <w:jc w:val="center"/>
        <w:tblLook w:firstColumn="1" w:firstRow="1" w:lastColumn="0" w:lastRow="0" w:noHBand="0" w:noVBand="1" w:val="04A0"/>
        <w:bidiVisual w:val="1"/>
      </w:tblPr>
      <w:tblGrid>
        <w:gridCol w:w="9936"/>
      </w:tblGrid>
      <w:tr>
        <w:tc>
          <w:tcPr>
            <w:tcW w:type="dxa" w:w="9936"/>
            <w:shd w:fill="f0f9ff"/>
            <w:tcMar>
              <w:top w:w="120" w:type="dxa"/>
              <w:bottom w:w="120" w:type="dxa"/>
              <w:left w:w="180" w:type="dxa"/>
              <w:right w:w="180" w:type="dxa"/>
            </w:tcMar>
            <w:tcBorders>
              <w:top w:val="none"/>
              <w:left w:val="none"/>
              <w:bottom w:val="none"/>
              <w:right w:val="single" w:sz="36" w:space="0" w:color="0284c7"/>
            </w:tcBorders>
          </w:tcPr>
          <w:p>
            <w:pPr>
              <w:spacing w:before="40" w:after="40" w:line="288" w:lineRule="auto"/>
              <w:jc w:val="right"/>
              <w:bidi w:val="1"/>
            </w:pPr>
            <w:r>
              <w:rPr>
                <w:rFonts w:ascii="Arial" w:hAnsi="Arial"/>
                <w:b/>
                <w:color w:val="0284C7"/>
                <w:sz w:val="22"/>
              </w:rPr>
              <w:t>📌 بطاقة التحكيم والبيانات المرجعية للمقترح الأكاديمي:</w:t>
              <w:br/>
            </w:r>
            <w:r>
              <w:rPr>
                <w:rFonts w:ascii="Arial" w:hAnsi="Arial"/>
                <w:color w:val="1E293B"/>
                <w:sz w:val="20"/>
              </w:rPr>
              <w:t>الصفة التحكيمية: محكّم رئيسي (Lead Reviewer) في مجلات Scopus Q1 (Top 5% - Automation in Construction &amp; Advanced Engineering Informatics)، وممتحن خارجي لأطاريح الدكتوراه.</w:t>
              <w:br/>
              <w:t>المشرف الأكاديمي: الأستاذ الدكتور المهندس المعماري أحمد لؤي أحمد (Dr. Ahmed Louay Ahmed).</w:t>
              <w:br/>
              <w:t>الباحثة / الطالبة: ذرى مهدي (Dhurra Mahdi) - قسم الهندسة المعمارية.</w:t>
              <w:br/>
              <w:t>تاريخ التحكيم: أكتوبر 2026 | تصنيف التقييم: استشارة استراتيجية محكمة وخارطة طريق للترقية والنشر الدولي.</w:t>
            </w:r>
          </w:p>
        </w:tc>
      </w:tr>
    </w:tbl>
    <w:p/>
    <w:p>
      <w:pPr>
        <w:spacing w:before="320" w:after="120"/>
        <w:jc w:val="right"/>
        <w:bidi w:val="1"/>
      </w:pPr>
      <w:r>
        <w:rPr>
          <w:rFonts w:ascii="Arial" w:hAnsi="Arial"/>
          <w:b/>
          <w:color w:val="0284C7"/>
          <w:sz w:val="30"/>
        </w:rPr>
        <w:t>أولاً: تقييم مدى توافق المقترح البحثي المرفق مع المنصة المطورة (Cross-System Alignment)</w:t>
      </w:r>
    </w:p>
    <w:p>
      <w:pPr>
        <w:spacing w:before="40" w:after="80" w:line="300" w:lineRule="auto"/>
        <w:jc w:val="right"/>
        <w:bidi w:val="1"/>
      </w:pPr>
      <w:r>
        <w:rPr>
          <w:rFonts w:ascii="Arial" w:hAnsi="Arial"/>
          <w:color w:val="334155"/>
          <w:sz w:val="21"/>
        </w:rPr>
        <w:t>بصفتي محكماً رئيسياً وممتحناً خارجياً للأطاريح المتقدمة في حقل تكنولوجيا العمارة والـ BIM الغامر، قمت بفحص المقترح البحثي المرفق وتفكيك محاوره السبعة وجدول دراساته الـ 33، ومطابقته دقيقة بدقيقة مع المنصة التقنية التي تم تطويرها (WebXR OpenBIM Review Platform). والنتيجة التقييمية العامة هي: أن المقترح البحثي يمتلك توافقاً جوهرياً عالي المستوى مع المنصة في الأهداف والمشكلة وفجوة المعرفة بنسبة تصل إلى 95%، في حين أن المنصة المطورة تتفوق على المقترح وتسبقه بمراحل في بنيتها التحتية البرمجية والمعايير المفتوحة، مما يمنح البحث فرصة إنقاذ تاريخية من فخاخ البرمجة التقليدية.</w:t>
      </w:r>
    </w:p>
    <w:p>
      <w:pPr>
        <w:spacing w:before="240" w:after="80"/>
        <w:jc w:val="right"/>
        <w:bidi w:val="1"/>
      </w:pPr>
      <w:r>
        <w:rPr>
          <w:rFonts w:ascii="Arial" w:hAnsi="Arial"/>
          <w:b/>
          <w:color w:val="0F172A"/>
          <w:sz w:val="25"/>
        </w:rPr>
        <w:t>1. مصفوفة المطابقة التفصيلية بين محاور المقترح وإمكانيات المنصة المطورة:</w:t>
      </w:r>
    </w:p>
    <w:tbl>
      <w:tblPr>
        <w:tblW w:type="auto" w:w="0"/>
        <w:jc w:val="center"/>
        <w:tblLook w:firstColumn="1" w:firstRow="1" w:lastColumn="0" w:lastRow="0" w:noHBand="0" w:noVBand="1" w:val="04A0"/>
        <w:bidiVisual w:val="1"/>
      </w:tblPr>
      <w:tblGrid>
        <w:gridCol w:w="1987"/>
        <w:gridCol w:w="1987"/>
        <w:gridCol w:w="1987"/>
        <w:gridCol w:w="1987"/>
        <w:gridCol w:w="1987"/>
      </w:tblGrid>
      <w:tr>
        <w:tc>
          <w:tcPr>
            <w:tcW w:type="dxa" w:w="1987"/>
            <w:tcMar>
              <w:top w:w="80" w:type="dxa"/>
              <w:bottom w:w="80" w:type="dxa"/>
              <w:left w:w="100" w:type="dxa"/>
              <w:right w:w="100" w:type="dxa"/>
            </w:tcMar>
            <w:shd w:fill="0284c7"/>
          </w:tcPr>
          <w:p>
            <w:pPr>
              <w:spacing w:before="20" w:after="20"/>
              <w:jc w:val="center"/>
              <w:bidi w:val="1"/>
            </w:pPr>
            <w:r>
              <w:rPr>
                <w:rFonts w:ascii="Arial" w:hAnsi="Arial"/>
                <w:b/>
                <w:color w:val="FFFFFF"/>
                <w:sz w:val="19"/>
              </w:rPr>
              <w:t>محور المقترح البحثي</w:t>
            </w:r>
          </w:p>
        </w:tc>
        <w:tc>
          <w:tcPr>
            <w:tcW w:type="dxa" w:w="1987"/>
            <w:tcMar>
              <w:top w:w="80" w:type="dxa"/>
              <w:bottom w:w="80" w:type="dxa"/>
              <w:left w:w="100" w:type="dxa"/>
              <w:right w:w="100" w:type="dxa"/>
            </w:tcMar>
            <w:shd w:fill="0284c7"/>
          </w:tcPr>
          <w:p>
            <w:pPr>
              <w:spacing w:before="20" w:after="20"/>
              <w:jc w:val="center"/>
              <w:bidi w:val="1"/>
            </w:pPr>
            <w:r>
              <w:rPr>
                <w:rFonts w:ascii="Arial" w:hAnsi="Arial"/>
                <w:b/>
                <w:color w:val="FFFFFF"/>
                <w:sz w:val="19"/>
              </w:rPr>
              <w:t>طرح المقترح الحالي (PDF)</w:t>
            </w:r>
          </w:p>
        </w:tc>
        <w:tc>
          <w:tcPr>
            <w:tcW w:type="dxa" w:w="1987"/>
            <w:tcMar>
              <w:top w:w="80" w:type="dxa"/>
              <w:bottom w:w="80" w:type="dxa"/>
              <w:left w:w="100" w:type="dxa"/>
              <w:right w:w="100" w:type="dxa"/>
            </w:tcMar>
            <w:shd w:fill="0284c7"/>
          </w:tcPr>
          <w:p>
            <w:pPr>
              <w:spacing w:before="20" w:after="20"/>
              <w:jc w:val="center"/>
              <w:bidi w:val="1"/>
            </w:pPr>
            <w:r>
              <w:rPr>
                <w:rFonts w:ascii="Arial" w:hAnsi="Arial"/>
                <w:b/>
                <w:color w:val="FFFFFF"/>
                <w:sz w:val="19"/>
              </w:rPr>
              <w:t>ما توفره المنصة المطورة فعلياً</w:t>
            </w:r>
          </w:p>
        </w:tc>
        <w:tc>
          <w:tcPr>
            <w:tcW w:type="dxa" w:w="1987"/>
            <w:tcMar>
              <w:top w:w="80" w:type="dxa"/>
              <w:bottom w:w="80" w:type="dxa"/>
              <w:left w:w="100" w:type="dxa"/>
              <w:right w:w="100" w:type="dxa"/>
            </w:tcMar>
            <w:shd w:fill="0284c7"/>
          </w:tcPr>
          <w:p>
            <w:pPr>
              <w:spacing w:before="20" w:after="20"/>
              <w:jc w:val="center"/>
              <w:bidi w:val="1"/>
            </w:pPr>
            <w:r>
              <w:rPr>
                <w:rFonts w:ascii="Arial" w:hAnsi="Arial"/>
                <w:b/>
                <w:color w:val="FFFFFF"/>
                <w:sz w:val="19"/>
              </w:rPr>
              <w:t>نسبة التوافق</w:t>
            </w:r>
          </w:p>
        </w:tc>
        <w:tc>
          <w:tcPr>
            <w:tcW w:type="dxa" w:w="1987"/>
            <w:tcMar>
              <w:top w:w="80" w:type="dxa"/>
              <w:bottom w:w="80" w:type="dxa"/>
              <w:left w:w="100" w:type="dxa"/>
              <w:right w:w="100" w:type="dxa"/>
            </w:tcMar>
            <w:shd w:fill="0284c7"/>
          </w:tcPr>
          <w:p>
            <w:pPr>
              <w:spacing w:before="20" w:after="20"/>
              <w:jc w:val="center"/>
              <w:bidi w:val="1"/>
            </w:pPr>
            <w:r>
              <w:rPr>
                <w:rFonts w:ascii="Arial" w:hAnsi="Arial"/>
                <w:b/>
                <w:color w:val="FFFFFF"/>
                <w:sz w:val="19"/>
              </w:rPr>
              <w:t>الأثر الأكاديمي والتحكيمي</w:t>
            </w:r>
          </w:p>
        </w:tc>
      </w:tr>
      <w:tr>
        <w:tc>
          <w:tcPr>
            <w:tcW w:type="dxa" w:w="1987"/>
            <w:tcMar>
              <w:top w:w="80" w:type="dxa"/>
              <w:bottom w:w="80" w:type="dxa"/>
              <w:left w:w="100" w:type="dxa"/>
              <w:right w:w="100" w:type="dxa"/>
            </w:tcMar>
            <w:shd w:fill="f8fafc"/>
          </w:tcPr>
          <w:p>
            <w:pPr>
              <w:spacing w:before="20" w:after="20"/>
              <w:jc w:val="right"/>
              <w:bidi w:val="1"/>
            </w:pPr>
            <w:r>
              <w:rPr>
                <w:rFonts w:ascii="Arial" w:hAnsi="Arial"/>
                <w:sz w:val="17"/>
              </w:rPr>
              <w:t>المحور 1: كشف التعارضات في VR</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توظيف البيئات الغامرة لكشف تعارضات التخصصات قبل التنفيذ بمقياس 1:1.</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بيئة غامرة متكاملة بمقياس 1:1 عبر WebXR و Meta Quest 2/3 ومحاكي ليزر 6-DoF مكتبي.</w:t>
            </w:r>
          </w:p>
        </w:tc>
        <w:tc>
          <w:tcPr>
            <w:tcW w:type="dxa" w:w="1987"/>
            <w:tcMar>
              <w:top w:w="80" w:type="dxa"/>
              <w:bottom w:w="80" w:type="dxa"/>
              <w:left w:w="100" w:type="dxa"/>
              <w:right w:w="100" w:type="dxa"/>
            </w:tcMar>
            <w:shd w:fill="f8fafc"/>
          </w:tcPr>
          <w:p>
            <w:pPr>
              <w:spacing w:before="20" w:after="20"/>
              <w:jc w:val="center"/>
              <w:bidi w:val="1"/>
            </w:pPr>
            <w:r>
              <w:rPr>
                <w:rFonts w:ascii="Arial" w:hAnsi="Arial"/>
                <w:b/>
                <w:color w:val="10B981"/>
                <w:sz w:val="17"/>
              </w:rPr>
              <w:t>100%</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تطابق تام يوفر للباحثة منصة تجارب معملية جاهزة للقياس.</w:t>
            </w:r>
          </w:p>
        </w:tc>
      </w:tr>
      <w:tr>
        <w:tc>
          <w:tcPr>
            <w:tcW w:type="dxa" w:w="1987"/>
            <w:tcMar>
              <w:top w:w="80" w:type="dxa"/>
              <w:bottom w:w="80" w:type="dxa"/>
              <w:left w:w="100" w:type="dxa"/>
              <w:right w:w="100" w:type="dxa"/>
            </w:tcMar>
            <w:shd w:fill="ffffff"/>
          </w:tcPr>
          <w:p>
            <w:pPr>
              <w:spacing w:before="20" w:after="20"/>
              <w:jc w:val="right"/>
              <w:bidi w:val="1"/>
            </w:pPr>
            <w:r>
              <w:rPr>
                <w:rFonts w:ascii="Arial" w:hAnsi="Arial"/>
                <w:sz w:val="17"/>
              </w:rPr>
              <w:t>المحور 2: انعكاس التعارض على الفضاء</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أثر حل التعارضات على المقصد المعماري (ارتفاعات، فتحات، حواجز سقفية).</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مصفوفة التعارضات العشرين تركز على التضحيات المعمارية (CL-06 خلوص، CL-11 صيانة، CL-16 خصوصية).</w:t>
            </w:r>
          </w:p>
        </w:tc>
        <w:tc>
          <w:tcPr>
            <w:tcW w:type="dxa" w:w="1987"/>
            <w:tcMar>
              <w:top w:w="80" w:type="dxa"/>
              <w:bottom w:w="80" w:type="dxa"/>
              <w:left w:w="100" w:type="dxa"/>
              <w:right w:w="100" w:type="dxa"/>
            </w:tcMar>
            <w:shd w:fill="ffffff"/>
          </w:tcPr>
          <w:p>
            <w:pPr>
              <w:spacing w:before="20" w:after="20"/>
              <w:jc w:val="center"/>
              <w:bidi w:val="1"/>
            </w:pPr>
            <w:r>
              <w:rPr>
                <w:rFonts w:ascii="Arial" w:hAnsi="Arial"/>
                <w:b/>
                <w:color w:val="10B981"/>
                <w:sz w:val="17"/>
              </w:rPr>
              <w:t>100%</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يمنح الأطروحة هويتها المعمارية الخالصة ويمنع انزلاقها للهندسة الميكانيكية.</w:t>
            </w:r>
          </w:p>
        </w:tc>
      </w:tr>
      <w:tr>
        <w:tc>
          <w:tcPr>
            <w:tcW w:type="dxa" w:w="1987"/>
            <w:tcMar>
              <w:top w:w="80" w:type="dxa"/>
              <w:bottom w:w="80" w:type="dxa"/>
              <w:left w:w="100" w:type="dxa"/>
              <w:right w:w="100" w:type="dxa"/>
            </w:tcMar>
            <w:shd w:fill="f8fafc"/>
          </w:tcPr>
          <w:p>
            <w:pPr>
              <w:spacing w:before="20" w:after="20"/>
              <w:jc w:val="right"/>
              <w:bidi w:val="1"/>
            </w:pPr>
            <w:r>
              <w:rPr>
                <w:rFonts w:ascii="Arial" w:hAnsi="Arial"/>
                <w:sz w:val="17"/>
              </w:rPr>
              <w:t>المحور 3 و 4: مطابقة AR في الموقع</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رصد انحرافات التنفيذ ودقة المطابقة بالعلامات أو الأجهزة المساحية.</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معمارية WebXR تدعم وضع WebXR AR على الهواتف والأجهزة بنقاط مرجعية ومستويات قطع فراغية.</w:t>
            </w:r>
          </w:p>
        </w:tc>
        <w:tc>
          <w:tcPr>
            <w:tcW w:type="dxa" w:w="1987"/>
            <w:tcMar>
              <w:top w:w="80" w:type="dxa"/>
              <w:bottom w:w="80" w:type="dxa"/>
              <w:left w:w="100" w:type="dxa"/>
              <w:right w:w="100" w:type="dxa"/>
            </w:tcMar>
            <w:shd w:fill="f8fafc"/>
          </w:tcPr>
          <w:p>
            <w:pPr>
              <w:spacing w:before="20" w:after="20"/>
              <w:jc w:val="center"/>
              <w:bidi w:val="1"/>
            </w:pPr>
            <w:r>
              <w:rPr>
                <w:rFonts w:ascii="Arial" w:hAnsi="Arial"/>
                <w:b/>
                <w:color w:val="10B981"/>
                <w:sz w:val="17"/>
              </w:rPr>
              <w:t>85%</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تحتاج الأطروحة إلى تفعيل واجهة Pass-Through في المنصة لتكتمل التجربة الميدانية.</w:t>
            </w:r>
          </w:p>
        </w:tc>
      </w:tr>
      <w:tr>
        <w:tc>
          <w:tcPr>
            <w:tcW w:type="dxa" w:w="1987"/>
            <w:tcMar>
              <w:top w:w="80" w:type="dxa"/>
              <w:bottom w:w="80" w:type="dxa"/>
              <w:left w:w="100" w:type="dxa"/>
              <w:right w:w="100" w:type="dxa"/>
            </w:tcMar>
            <w:shd w:fill="ffffff"/>
          </w:tcPr>
          <w:p>
            <w:pPr>
              <w:spacing w:before="20" w:after="20"/>
              <w:jc w:val="right"/>
              <w:bidi w:val="1"/>
            </w:pPr>
            <w:r>
              <w:rPr>
                <w:rFonts w:ascii="Arial" w:hAnsi="Arial"/>
                <w:sz w:val="17"/>
              </w:rPr>
              <w:t>المحور 5: التكامل وسير العمل الموحد</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ربط VR التصميم مع AR الموقع في سير عمل واحد يعيد الملاحظات للنموذج.</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تصدير حزم BCF 2.1/3.0 القياسية العالمية وتقارير CSV ومعرفات العناصر GUID وإحداثيات الكاميرا.</w:t>
            </w:r>
          </w:p>
        </w:tc>
        <w:tc>
          <w:tcPr>
            <w:tcW w:type="dxa" w:w="1987"/>
            <w:tcMar>
              <w:top w:w="80" w:type="dxa"/>
              <w:bottom w:w="80" w:type="dxa"/>
              <w:left w:w="100" w:type="dxa"/>
              <w:right w:w="100" w:type="dxa"/>
            </w:tcMar>
            <w:shd w:fill="ffffff"/>
          </w:tcPr>
          <w:p>
            <w:pPr>
              <w:spacing w:before="20" w:after="20"/>
              <w:jc w:val="center"/>
              <w:bidi w:val="1"/>
            </w:pPr>
            <w:r>
              <w:rPr>
                <w:rFonts w:ascii="Arial" w:hAnsi="Arial"/>
                <w:b/>
                <w:color w:val="10B981"/>
                <w:sz w:val="17"/>
              </w:rPr>
              <w:t>95%</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حل معضلة المقترح عبر بروتوكول OpenBIM BCF الدولي المعتمد.</w:t>
            </w:r>
          </w:p>
        </w:tc>
      </w:tr>
      <w:tr>
        <w:tc>
          <w:tcPr>
            <w:tcW w:type="dxa" w:w="1987"/>
            <w:tcMar>
              <w:top w:w="80" w:type="dxa"/>
              <w:bottom w:w="80" w:type="dxa"/>
              <w:left w:w="100" w:type="dxa"/>
              <w:right w:w="100" w:type="dxa"/>
            </w:tcMar>
            <w:shd w:fill="f8fafc"/>
          </w:tcPr>
          <w:p>
            <w:pPr>
              <w:spacing w:before="20" w:after="20"/>
              <w:jc w:val="right"/>
              <w:bidi w:val="1"/>
            </w:pPr>
            <w:r>
              <w:rPr>
                <w:rFonts w:ascii="Arial" w:hAnsi="Arial"/>
                <w:sz w:val="17"/>
              </w:rPr>
              <w:t>المحور 6: أطر التقييم والمقاييس</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اعتماد مؤشرات الأداء، قابلية الاستخدام SUS، والحمل المعرفي NASA-TLX.</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شاشة قياسات Telemetry تصدر JSON بمعدل الإطارات والذاكرة، وبروتوكول Latin Square متكامل.</w:t>
            </w:r>
          </w:p>
        </w:tc>
        <w:tc>
          <w:tcPr>
            <w:tcW w:type="dxa" w:w="1987"/>
            <w:tcMar>
              <w:top w:w="80" w:type="dxa"/>
              <w:bottom w:w="80" w:type="dxa"/>
              <w:left w:w="100" w:type="dxa"/>
              <w:right w:w="100" w:type="dxa"/>
            </w:tcMar>
            <w:shd w:fill="f8fafc"/>
          </w:tcPr>
          <w:p>
            <w:pPr>
              <w:spacing w:before="20" w:after="20"/>
              <w:jc w:val="center"/>
              <w:bidi w:val="1"/>
            </w:pPr>
            <w:r>
              <w:rPr>
                <w:rFonts w:ascii="Arial" w:hAnsi="Arial"/>
                <w:b/>
                <w:color w:val="10B981"/>
                <w:sz w:val="17"/>
              </w:rPr>
              <w:t>100%</w:t>
            </w:r>
          </w:p>
        </w:tc>
        <w:tc>
          <w:tcPr>
            <w:tcW w:type="dxa" w:w="1987"/>
            <w:tcMar>
              <w:top w:w="80" w:type="dxa"/>
              <w:bottom w:w="80" w:type="dxa"/>
              <w:left w:w="100" w:type="dxa"/>
              <w:right w:w="100" w:type="dxa"/>
            </w:tcMar>
            <w:shd w:fill="f8fafc"/>
          </w:tcPr>
          <w:p>
            <w:pPr>
              <w:spacing w:before="20" w:after="20"/>
              <w:jc w:val="right"/>
              <w:bidi w:val="1"/>
            </w:pPr>
            <w:r>
              <w:rPr>
                <w:rFonts w:ascii="Arial" w:hAnsi="Arial"/>
                <w:sz w:val="17"/>
              </w:rPr>
              <w:t>جاهزية كاملة لإجراء الاختبارات الإحصائية الصارمة ونشرها في مجلات Q1.</w:t>
            </w:r>
          </w:p>
        </w:tc>
      </w:tr>
      <w:tr>
        <w:tc>
          <w:tcPr>
            <w:tcW w:type="dxa" w:w="1987"/>
            <w:tcMar>
              <w:top w:w="80" w:type="dxa"/>
              <w:bottom w:w="80" w:type="dxa"/>
              <w:left w:w="100" w:type="dxa"/>
              <w:right w:w="100" w:type="dxa"/>
            </w:tcMar>
            <w:shd w:fill="ffffff"/>
          </w:tcPr>
          <w:p>
            <w:pPr>
              <w:spacing w:before="20" w:after="20"/>
              <w:jc w:val="right"/>
              <w:bidi w:val="1"/>
            </w:pPr>
            <w:r>
              <w:rPr>
                <w:rFonts w:ascii="Arial" w:hAnsi="Arial"/>
                <w:sz w:val="17"/>
              </w:rPr>
              <w:t>المحور 7: حدود الفحص الآلي للتعارض</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تصنيف ما يعجز عنه Navisworks مسوغاً الحاجة للمراجعة الغامرة.</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مصفوفة الـ 20 تعارضاً المعتمدة (LOD 350) تثبت أن 75% من التعارضات تعجز عنها خوارزميات التصادم.</w:t>
            </w:r>
          </w:p>
        </w:tc>
        <w:tc>
          <w:tcPr>
            <w:tcW w:type="dxa" w:w="1987"/>
            <w:tcMar>
              <w:top w:w="80" w:type="dxa"/>
              <w:bottom w:w="80" w:type="dxa"/>
              <w:left w:w="100" w:type="dxa"/>
              <w:right w:w="100" w:type="dxa"/>
            </w:tcMar>
            <w:shd w:fill="ffffff"/>
          </w:tcPr>
          <w:p>
            <w:pPr>
              <w:spacing w:before="20" w:after="20"/>
              <w:jc w:val="center"/>
              <w:bidi w:val="1"/>
            </w:pPr>
            <w:r>
              <w:rPr>
                <w:rFonts w:ascii="Arial" w:hAnsi="Arial"/>
                <w:b/>
                <w:color w:val="10B981"/>
                <w:sz w:val="17"/>
              </w:rPr>
              <w:t>100%</w:t>
            </w:r>
          </w:p>
        </w:tc>
        <w:tc>
          <w:tcPr>
            <w:tcW w:type="dxa" w:w="1987"/>
            <w:tcMar>
              <w:top w:w="80" w:type="dxa"/>
              <w:bottom w:w="80" w:type="dxa"/>
              <w:left w:w="100" w:type="dxa"/>
              <w:right w:w="100" w:type="dxa"/>
            </w:tcMar>
            <w:shd w:fill="ffffff"/>
          </w:tcPr>
          <w:p>
            <w:pPr>
              <w:spacing w:before="20" w:after="20"/>
              <w:jc w:val="right"/>
              <w:bidi w:val="1"/>
            </w:pPr>
            <w:r>
              <w:rPr>
                <w:rFonts w:ascii="Arial" w:hAnsi="Arial"/>
                <w:sz w:val="17"/>
              </w:rPr>
              <w:t>يمثل خط الأساس المرجعي (Ground Truth) الحاسم للتحقق التجريبي.</w:t>
            </w:r>
          </w:p>
        </w:tc>
      </w:tr>
    </w:tbl>
    <w:p/>
    <w:p>
      <w:pPr>
        <w:spacing w:before="240" w:after="80"/>
        <w:jc w:val="right"/>
        <w:bidi w:val="1"/>
      </w:pPr>
      <w:r>
        <w:rPr>
          <w:rFonts w:ascii="Arial" w:hAnsi="Arial"/>
          <w:b/>
          <w:color w:val="0F172A"/>
          <w:sz w:val="25"/>
        </w:rPr>
        <w:t>2. نقاط التباين الجوهري (حيث تتفوق المنصة وتنقذ المقترح من مآزق تقنية قاتلة):</w:t>
      </w:r>
    </w:p>
    <w:p>
      <w:pPr>
        <w:pStyle w:val="ListBullet"/>
        <w:spacing w:before="20" w:after="60" w:line="288" w:lineRule="auto"/>
        <w:jc w:val="right"/>
        <w:bidi w:val="1"/>
      </w:pPr>
      <w:r>
        <w:rPr>
          <w:rFonts w:ascii="Arial" w:hAnsi="Arial"/>
          <w:b/>
          <w:color w:val="0F172A"/>
          <w:sz w:val="20"/>
        </w:rPr>
        <w:t xml:space="preserve">أ. مأزق محركات الألعاب المغلقة (Unity/Unreal Engine) مقابل معيار الويب (OpenBIM WebXR): </w:t>
      </w:r>
      <w:r>
        <w:rPr>
          <w:rFonts w:ascii="Arial" w:hAnsi="Arial"/>
          <w:color w:val="334155"/>
          <w:sz w:val="20"/>
        </w:rPr>
        <w:t>المقترح يذكر صراحة في صفحة 4: 'يتطلب برمجة وربط النماذج بمحركات الألعاب (Unreal Engine أو Unity)'. كمحكم دولي، أؤكد أن هذا أكبر خطأ يقع فيه طلبة الدراسات العليا؛ فمحركات الألعاب تتطلب أجهزة PC بمواصفات خارقة وبطاقات RTX، وتستلزم تصديراً معقداً يفكك البيانات الوصفية لملف الـ IFC (Data Loss)، وتمنع تشغيل النظارات المستقلة المحمولة، وتتعطل تماماً على بيئات Mac. بينما المنصة المطورة اعتمدت معيار الويب المفتوح (Three.js + WebAssembly Web-IFC) الذي يعمل عبر المتصفح فوراً على أي جهاز وبلا كابلات وبلا أي تنصيب برمجي!</w:t>
      </w:r>
    </w:p>
    <w:p>
      <w:pPr>
        <w:pStyle w:val="ListBullet"/>
        <w:spacing w:before="20" w:after="60" w:line="288" w:lineRule="auto"/>
        <w:jc w:val="right"/>
        <w:bidi w:val="1"/>
      </w:pPr>
      <w:r>
        <w:rPr>
          <w:rFonts w:ascii="Arial" w:hAnsi="Arial"/>
          <w:b/>
          <w:color w:val="0F172A"/>
          <w:sz w:val="20"/>
        </w:rPr>
        <w:t xml:space="preserve">ب. آلية نقل البيانات بين المكتب والموقع (BCF Standard): </w:t>
      </w:r>
      <w:r>
        <w:rPr>
          <w:rFonts w:ascii="Arial" w:hAnsi="Arial"/>
          <w:color w:val="334155"/>
          <w:sz w:val="20"/>
        </w:rPr>
        <w:t>المقترح يطرح فكرة نقل المخرجات إلى الموقع وإعادتها، لكنه يعجز عن تسمية 'البروتوكول التقني' لنقل البيانات، مما يجعلها تبدو كفكرة إنشائية غير قابلة للتطبيق. المنصة المطورة تحل هذه المعضلة جذرياً عبر اعتماد معيار buildingSMART العالمي المفتوح (BIM Collaboration Format - BCF 2.1/3.0)، حيث يسجل التعارض في الـ VR كملف BCF Topic يتضمن الـ GUID وزاوية الكاميرا والإحداثيات، ويفتح في الـ AR في الموقع بنفس الإحداثيات!</w:t>
      </w:r>
    </w:p>
    <w:p>
      <w:pPr>
        <w:pStyle w:val="ListBullet"/>
        <w:spacing w:before="20" w:after="60" w:line="288" w:lineRule="auto"/>
        <w:jc w:val="right"/>
        <w:bidi w:val="1"/>
      </w:pPr>
      <w:r>
        <w:rPr>
          <w:rFonts w:ascii="Arial" w:hAnsi="Arial"/>
          <w:b/>
          <w:color w:val="0F172A"/>
          <w:sz w:val="20"/>
        </w:rPr>
        <w:t xml:space="preserve">ج. حوكمة البحث والأمان الأكاديمي (RBAC): </w:t>
      </w:r>
      <w:r>
        <w:rPr>
          <w:rFonts w:ascii="Arial" w:hAnsi="Arial"/>
          <w:color w:val="334155"/>
          <w:sz w:val="20"/>
        </w:rPr>
        <w:t>المقترح يغفل تنظيم سرية البيانات وإدارة الجلسات البحثية بين الأستاذ المشرف والطالبة. المنصة تدمج نظام تحكم أمني بالوصول (RBAC) يفصل بين حساب المشرف (Admin) بكامل الصلاحيات وحساب الطالبة (Student) مع حجب الأرشيف الاستشاري والتوثيق.</w:t>
      </w:r>
    </w:p>
    <w:p>
      <w:pPr>
        <w:spacing w:before="320" w:after="120"/>
        <w:jc w:val="right"/>
        <w:bidi w:val="1"/>
      </w:pPr>
      <w:r>
        <w:rPr>
          <w:rFonts w:ascii="Arial" w:hAnsi="Arial"/>
          <w:b/>
          <w:color w:val="0284C7"/>
          <w:sz w:val="30"/>
        </w:rPr>
        <w:t>ثانياً: كيف يمكنك تطوير المقترح البحثي استناداً إلى المنصة المطورة وبما يواكب الأبحاث العالمية؟</w:t>
      </w:r>
    </w:p>
    <w:p>
      <w:pPr>
        <w:spacing w:before="40" w:after="80" w:line="300" w:lineRule="auto"/>
        <w:jc w:val="right"/>
        <w:bidi w:val="1"/>
      </w:pPr>
      <w:r>
        <w:rPr>
          <w:rFonts w:ascii="Arial" w:hAnsi="Arial"/>
          <w:color w:val="334155"/>
          <w:sz w:val="21"/>
        </w:rPr>
        <w:t>لكي يرتقي هذا المقترح إلى مستوى أطروحة دكتوراه عالمية تُنشر أوراقها في كبريات مجلات الربع الأول (Scopus Q1: Automation in Construction / Advanced Engineering Informatics)، يجب إعادة هيكلة المقترح وفق 6 ركائز تطويرية استراتيجية:</w:t>
      </w:r>
    </w:p>
    <w:p>
      <w:pPr>
        <w:spacing w:before="240" w:after="80"/>
        <w:jc w:val="right"/>
        <w:bidi w:val="1"/>
      </w:pPr>
      <w:r>
        <w:rPr>
          <w:rFonts w:ascii="Arial" w:hAnsi="Arial"/>
          <w:b/>
          <w:color w:val="0F172A"/>
          <w:sz w:val="25"/>
        </w:rPr>
        <w:t>1. التحول الاستراتيجي من المحركات الاحتكارية إلى معيار الويب الغامر المفتوح (OpenBIM WebXR):</w:t>
      </w:r>
    </w:p>
    <w:p>
      <w:pPr>
        <w:spacing w:before="40" w:after="80" w:line="300" w:lineRule="auto"/>
        <w:jc w:val="right"/>
        <w:bidi w:val="1"/>
      </w:pPr>
      <w:r>
        <w:rPr>
          <w:rFonts w:ascii="Arial" w:hAnsi="Arial"/>
          <w:color w:val="334155"/>
          <w:sz w:val="21"/>
        </w:rPr>
        <w:t>يجب شطب عبارة 'الربط بمحركات الألعاب (Unreal Engine أو Unity)' من المقترح، واستبدالها بالصياغة الأكاديمية التالية: 'تطوير منصة ويب فراغية غامرة خفيفة الوزن (Client-Side OpenBIM WebXR Platform) تعتمد معالجة ملفات الـ IFC مباشرة عبر تقنية الـ WebAssembly (Web-IFC) دون وسيط احتكاري ودون فقدان للبيانات الهندسية أو الدلالية (Semantic Integrity)، مما يتيح التوافق التشغيلي الكامل مع نظارات الواقع الافتراضي المستقلة (Untethered VR: Meta Quest) ومتصفحات الويب المكتبية والمحمولة'. هذا التعديل يمنح البحث وزناً علمياً هائلاً ويزيل اعتراضات المحكمين حول متطلبات العتاد الباهظة واحتكارية البرامج.</w:t>
      </w:r>
    </w:p>
    <w:p>
      <w:pPr>
        <w:spacing w:before="240" w:after="80"/>
        <w:jc w:val="right"/>
        <w:bidi w:val="1"/>
      </w:pPr>
      <w:r>
        <w:rPr>
          <w:rFonts w:ascii="Arial" w:hAnsi="Arial"/>
          <w:b/>
          <w:color w:val="0F172A"/>
          <w:sz w:val="25"/>
        </w:rPr>
        <w:t>2. اعتماد 'مصفوفة التعارضات العشرين' كمعيار مرجعي كمي للتحقق التجريبي (Benchmark Ground Truth):</w:t>
      </w:r>
    </w:p>
    <w:p>
      <w:pPr>
        <w:spacing w:before="40" w:after="80" w:line="300" w:lineRule="auto"/>
        <w:jc w:val="right"/>
        <w:bidi w:val="1"/>
      </w:pPr>
      <w:r>
        <w:rPr>
          <w:rFonts w:ascii="Arial" w:hAnsi="Arial"/>
          <w:color w:val="334155"/>
          <w:sz w:val="21"/>
        </w:rPr>
        <w:t>أكبر ثغرة منهجية انتقدتها الدراسات السابقة (مثل Astaneh-Asl 2022 و Johansson &amp; Roupe 2024) هي استخدام تعارضات عشوائية أو مبسطة دون معيار ضابط. يجب دمج 'مصفوفة التعارضات العشرين (The 20-Clash Master Benchmark Matrix)' المطورة لمشروع رعاية صحية ومختبرات تخصصية (Healthcare &amp; Lab LOD 350) في صلب المقترح:</w:t>
      </w:r>
    </w:p>
    <w:p>
      <w:pPr>
        <w:pStyle w:val="ListBullet"/>
        <w:spacing w:before="20" w:after="60" w:line="288" w:lineRule="auto"/>
        <w:jc w:val="right"/>
        <w:bidi w:val="1"/>
      </w:pPr>
      <w:r>
        <w:rPr>
          <w:rFonts w:ascii="Arial" w:hAnsi="Arial"/>
          <w:b/>
          <w:color w:val="0F172A"/>
          <w:sz w:val="20"/>
        </w:rPr>
        <w:t xml:space="preserve">الفئة الأولى: 5 تعارضات صلبة (Hard Clashes) — </w:t>
      </w:r>
      <w:r>
        <w:rPr>
          <w:rFonts w:ascii="Arial" w:hAnsi="Arial"/>
          <w:color w:val="334155"/>
          <w:sz w:val="20"/>
        </w:rPr>
        <w:t>تداخل ماسورة مياه مع كمرة خرسانية، مجرى تكييف يخترق جداراً زجاجياً، عمود خرساني يعيق مسار مصعد النقالات. (يكتشفها الفحص الآلي والـ VR بالتساوي كعنصر ضبط ومقارنة).</w:t>
      </w:r>
    </w:p>
    <w:p>
      <w:pPr>
        <w:pStyle w:val="ListBullet"/>
        <w:spacing w:before="20" w:after="60" w:line="288" w:lineRule="auto"/>
        <w:jc w:val="right"/>
        <w:bidi w:val="1"/>
      </w:pPr>
      <w:r>
        <w:rPr>
          <w:rFonts w:ascii="Arial" w:hAnsi="Arial"/>
          <w:b/>
          <w:color w:val="0F172A"/>
          <w:sz w:val="20"/>
        </w:rPr>
        <w:t xml:space="preserve">الفئة الثانية: 5 تعارضات خلوصات وكود (Clearance &amp; Code Clashes) — </w:t>
      </w:r>
      <w:r>
        <w:rPr>
          <w:rFonts w:ascii="Arial" w:hAnsi="Arial"/>
          <w:color w:val="334155"/>
          <w:sz w:val="20"/>
        </w:rPr>
        <w:t>مجرى تكييف يخفض ارتفاع الممر إلى 1.95m منتهكاً كود المستشفيات، تداخل باب العمليات مع خزانة الغازات، انعدام خلوص سحب فلتر ماكينة التكييف FCU.</w:t>
      </w:r>
    </w:p>
    <w:p>
      <w:pPr>
        <w:pStyle w:val="ListBullet"/>
        <w:spacing w:before="20" w:after="60" w:line="288" w:lineRule="auto"/>
        <w:jc w:val="right"/>
        <w:bidi w:val="1"/>
      </w:pPr>
      <w:r>
        <w:rPr>
          <w:rFonts w:ascii="Arial" w:hAnsi="Arial"/>
          <w:b/>
          <w:color w:val="0F172A"/>
          <w:sz w:val="20"/>
        </w:rPr>
        <w:t xml:space="preserve">الفئة الثالثة: 5 تعارضات تشغيل وصيانة بشرية (Operability &amp; Maintenance Clashes) — </w:t>
      </w:r>
      <w:r>
        <w:rPr>
          <w:rFonts w:ascii="Arial" w:hAnsi="Arial"/>
          <w:color w:val="334155"/>
          <w:sz w:val="20"/>
        </w:rPr>
        <w:t>محبس أكسجين محبوس فوق سقف مستعار دون فتحة كشف، مغسلة جراحية تعيق مرفقي الجراح، مسار كابلات يمنع فتح لوحة الكهرباء 90 درجة، دكت يغلق فتحة صيانة بنسبة 80%.</w:t>
      </w:r>
    </w:p>
    <w:p>
      <w:pPr>
        <w:pStyle w:val="ListBullet"/>
        <w:spacing w:before="20" w:after="60" w:line="288" w:lineRule="auto"/>
        <w:jc w:val="right"/>
        <w:bidi w:val="1"/>
      </w:pPr>
      <w:r>
        <w:rPr>
          <w:rFonts w:ascii="Arial" w:hAnsi="Arial"/>
          <w:b/>
          <w:color w:val="0F172A"/>
          <w:sz w:val="20"/>
        </w:rPr>
        <w:t xml:space="preserve">الفئة الرابعة: 5 تعارضات بيئية وتسهيلات حركة (Ergonomic &amp; ADA Accessibility) — </w:t>
      </w:r>
      <w:r>
        <w:rPr>
          <w:rFonts w:ascii="Arial" w:hAnsi="Arial"/>
          <w:color w:val="334155"/>
          <w:sz w:val="20"/>
        </w:rPr>
        <w:t>حجب شاشة العناية المركزة عن محطة التمريض، كشافات مبهرة في أعين المرضى على النقالات، حجب لوحات الطوارئ بالأعمدة، انتهاك خصوصية غرف التنويم بنوافذ متقابلة، ومفاتيح إنذار تعجز مستخدمي الكراسي المتحركة وفق كود ADA.</w:t>
      </w:r>
    </w:p>
    <w:p>
      <w:pPr>
        <w:spacing w:before="240" w:after="80"/>
        <w:jc w:val="right"/>
        <w:bidi w:val="1"/>
      </w:pPr>
      <w:r>
        <w:rPr>
          <w:rFonts w:ascii="Arial" w:hAnsi="Arial"/>
          <w:b/>
          <w:color w:val="0F172A"/>
          <w:sz w:val="25"/>
        </w:rPr>
        <w:t>3. مكننة سير العمل التكاملي عبر بروتوكول BCF 2.1/3.0 المغلق (Closed-Loop BCF Mechanism):</w:t>
      </w:r>
    </w:p>
    <w:p>
      <w:pPr>
        <w:spacing w:before="40" w:after="80" w:line="300" w:lineRule="auto"/>
        <w:jc w:val="right"/>
        <w:bidi w:val="1"/>
      </w:pPr>
      <w:r>
        <w:rPr>
          <w:rFonts w:ascii="Arial" w:hAnsi="Arial"/>
          <w:color w:val="334155"/>
          <w:sz w:val="21"/>
        </w:rPr>
        <w:t>للإجابة القاطعة على السؤال الفرعي الثالث في المقترح ('كيف تُنقل نتائج المراجعة قبل التنفيذ إلى الإشراف الموقعي ضمن سير عمل واحد؟')، يتم تبني سير العمل البرمجي المغلق المطبق في المنصة:</w:t>
      </w:r>
    </w:p>
    <w:p>
      <w:pPr>
        <w:pStyle w:val="ListBullet"/>
        <w:spacing w:before="20" w:after="60" w:line="288" w:lineRule="auto"/>
        <w:jc w:val="right"/>
        <w:bidi w:val="1"/>
      </w:pPr>
      <w:r>
        <w:rPr>
          <w:rFonts w:ascii="Arial" w:hAnsi="Arial"/>
          <w:b/>
          <w:color w:val="0F172A"/>
          <w:sz w:val="20"/>
        </w:rPr>
        <w:t xml:space="preserve">الخطوة 1 (المراجعة الغامرة قبل التنفيذ): </w:t>
      </w:r>
      <w:r>
        <w:rPr>
          <w:rFonts w:ascii="Arial" w:hAnsi="Arial"/>
          <w:color w:val="334155"/>
          <w:sz w:val="20"/>
        </w:rPr>
        <w:t>المهندس المعماري/المنسق يرتدي نظارة Meta Quest ويتجول بمقياس 1:1، ويرصد تعارضاً تشغيلياً أو إدراكياً تعجز عنه خوارزميات التصادم.</w:t>
      </w:r>
    </w:p>
    <w:p>
      <w:pPr>
        <w:pStyle w:val="ListBullet"/>
        <w:spacing w:before="20" w:after="60" w:line="288" w:lineRule="auto"/>
        <w:jc w:val="right"/>
        <w:bidi w:val="1"/>
      </w:pPr>
      <w:r>
        <w:rPr>
          <w:rFonts w:ascii="Arial" w:hAnsi="Arial"/>
          <w:b/>
          <w:color w:val="0F172A"/>
          <w:sz w:val="20"/>
        </w:rPr>
        <w:t xml:space="preserve">الخطوة 2 (توليد قضية BCF آلياً): </w:t>
      </w:r>
      <w:r>
        <w:rPr>
          <w:rFonts w:ascii="Arial" w:hAnsi="Arial"/>
          <w:color w:val="334155"/>
          <w:sz w:val="20"/>
        </w:rPr>
        <w:t>بنقرة واحدة على زناد وحدة التحكم، تقوم المنصة بالتقاط الـ Element GUID وزاوية الكاميرا الفراغية Viewpoint والصورة المشهدية وتنشئ تقرير BCF معتمد أو CSV.</w:t>
      </w:r>
    </w:p>
    <w:p>
      <w:pPr>
        <w:pStyle w:val="ListBullet"/>
        <w:spacing w:before="20" w:after="60" w:line="288" w:lineRule="auto"/>
        <w:jc w:val="right"/>
        <w:bidi w:val="1"/>
      </w:pPr>
      <w:r>
        <w:rPr>
          <w:rFonts w:ascii="Arial" w:hAnsi="Arial"/>
          <w:b/>
          <w:color w:val="0F172A"/>
          <w:sz w:val="20"/>
        </w:rPr>
        <w:t xml:space="preserve">الخطوة 3 (التحقق الميداني الموقعي): </w:t>
      </w:r>
      <w:r>
        <w:rPr>
          <w:rFonts w:ascii="Arial" w:hAnsi="Arial"/>
          <w:color w:val="334155"/>
          <w:sz w:val="20"/>
        </w:rPr>
        <w:t>مهندس الإشراف في الموقع يفتح نفس المنصة عبر الهاتف/النظارة بوضع الواقع المعزز (WebXR AR)، ويتم استدعاء نقطة الـ BCF لتوجيهه مباشرة إلى الفراغ الفيزيائي المعني.</w:t>
      </w:r>
    </w:p>
    <w:p>
      <w:pPr>
        <w:pStyle w:val="ListBullet"/>
        <w:spacing w:before="20" w:after="60" w:line="288" w:lineRule="auto"/>
        <w:jc w:val="right"/>
        <w:bidi w:val="1"/>
      </w:pPr>
      <w:r>
        <w:rPr>
          <w:rFonts w:ascii="Arial" w:hAnsi="Arial"/>
          <w:b/>
          <w:color w:val="0F172A"/>
          <w:sz w:val="20"/>
        </w:rPr>
        <w:t xml:space="preserve">الخطوة 4 (إغلاق الحلقة والتعديل): </w:t>
      </w:r>
      <w:r>
        <w:rPr>
          <w:rFonts w:ascii="Arial" w:hAnsi="Arial"/>
          <w:color w:val="334155"/>
          <w:sz w:val="20"/>
        </w:rPr>
        <w:t>مطابقة التصميم بالمنفذ؛ وفي حال وجود انحراف إنشائي، يتم تعديل حالة التعارض في ملف الـ BCF وإرجاعه لحظياً لبرنامج النمذجة (Revit/Archicad) دون إعادة عمل أو هدر ورقي.</w:t>
      </w:r>
    </w:p>
    <w:p>
      <w:pPr>
        <w:spacing w:before="240" w:after="80"/>
        <w:jc w:val="right"/>
        <w:bidi w:val="1"/>
      </w:pPr>
      <w:r>
        <w:rPr>
          <w:rFonts w:ascii="Arial" w:hAnsi="Arial"/>
          <w:b/>
          <w:color w:val="0F172A"/>
          <w:sz w:val="25"/>
        </w:rPr>
        <w:t>4. 'المسار البحثي الذهبي': ربط التصميم التوليدي (Pix2Pix) بالتحقق الغامر 1:1 لمستخدمي الكراسي المتحركة:</w:t>
      </w:r>
    </w:p>
    <w:p>
      <w:pPr>
        <w:spacing w:before="40" w:after="80" w:line="300" w:lineRule="auto"/>
        <w:jc w:val="right"/>
        <w:bidi w:val="1"/>
      </w:pPr>
      <w:r>
        <w:rPr>
          <w:rFonts w:ascii="Arial" w:hAnsi="Arial"/>
          <w:color w:val="334155"/>
          <w:sz w:val="21"/>
        </w:rPr>
        <w:t>هذه هي القفزة الاستثنائية التي ستجعل أطروحة الطالبة ذرى مهدي تحت إشراف د. أحمد لؤي رائدة عالمياً: دمج أبحاث المشرف المنشورة في الذكاء الاصطناعي التوليدي (Pix2Pix GAN) ومؤشر الامتثال الآلي (AGCR)، بمنصة المراجعة الغامرة WebXR المطورة:</w:t>
      </w:r>
    </w:p>
    <w:p>
      <w:pPr>
        <w:pStyle w:val="ListBullet"/>
        <w:spacing w:before="20" w:after="60" w:line="288" w:lineRule="auto"/>
        <w:jc w:val="right"/>
        <w:bidi w:val="1"/>
      </w:pPr>
      <w:r>
        <w:rPr>
          <w:rFonts w:ascii="Arial" w:hAnsi="Arial"/>
          <w:b/>
          <w:color w:val="0F172A"/>
          <w:sz w:val="20"/>
        </w:rPr>
        <w:t xml:space="preserve">أولاً: التوليد الذكي — </w:t>
      </w:r>
      <w:r>
        <w:rPr>
          <w:rFonts w:ascii="Arial" w:hAnsi="Arial"/>
          <w:color w:val="334155"/>
          <w:sz w:val="20"/>
        </w:rPr>
        <w:t>توليد مخططات معمارية ملائمة للكراسي المتحركة بواسطة شبكات Pix2Pix GAN.</w:t>
      </w:r>
    </w:p>
    <w:p>
      <w:pPr>
        <w:pStyle w:val="ListBullet"/>
        <w:spacing w:before="20" w:after="60" w:line="288" w:lineRule="auto"/>
        <w:jc w:val="right"/>
        <w:bidi w:val="1"/>
      </w:pPr>
      <w:r>
        <w:rPr>
          <w:rFonts w:ascii="Arial" w:hAnsi="Arial"/>
          <w:b/>
          <w:color w:val="0F172A"/>
          <w:sz w:val="20"/>
        </w:rPr>
        <w:t xml:space="preserve">ثانياً: الفحص الحسابي — </w:t>
      </w:r>
      <w:r>
        <w:rPr>
          <w:rFonts w:ascii="Arial" w:hAnsi="Arial"/>
          <w:color w:val="334155"/>
          <w:sz w:val="20"/>
        </w:rPr>
        <w:t>حساب مؤشرات الامتثال لكود الوصولية رقمياً (AGCR Compliance Metric).</w:t>
      </w:r>
    </w:p>
    <w:p>
      <w:pPr>
        <w:pStyle w:val="ListBullet"/>
        <w:spacing w:before="20" w:after="60" w:line="288" w:lineRule="auto"/>
        <w:jc w:val="right"/>
        <w:bidi w:val="1"/>
      </w:pPr>
      <w:r>
        <w:rPr>
          <w:rFonts w:ascii="Arial" w:hAnsi="Arial"/>
          <w:b/>
          <w:color w:val="0F172A"/>
          <w:sz w:val="20"/>
        </w:rPr>
        <w:t xml:space="preserve">ثالثاً: التحقق الفراغي الغامر 1:1 — </w:t>
      </w:r>
      <w:r>
        <w:rPr>
          <w:rFonts w:ascii="Arial" w:hAnsi="Arial"/>
          <w:color w:val="334155"/>
          <w:sz w:val="20"/>
        </w:rPr>
        <w:t>تصدير النموذج بصيغة OpenBIM IFC واستدعاؤه في منصة WebXR Review Platform لاختباره بمقياس 1:1 عبر صورة رمزية للكرسي المتحرك (Avatar Collider بقطر دوران 1.50m وخلوصات أبواب وارتفاعات وصول 0.70m - 1.20m).</w:t>
      </w:r>
    </w:p>
    <w:p>
      <w:pPr>
        <w:pStyle w:val="ListBullet"/>
        <w:spacing w:before="20" w:after="60" w:line="288" w:lineRule="auto"/>
        <w:jc w:val="right"/>
        <w:bidi w:val="1"/>
      </w:pPr>
      <w:r>
        <w:rPr>
          <w:rFonts w:ascii="Arial" w:hAnsi="Arial"/>
          <w:b/>
          <w:color w:val="0F172A"/>
          <w:sz w:val="20"/>
        </w:rPr>
        <w:t xml:space="preserve">رابعاً: الأثر الأكاديمي — </w:t>
      </w:r>
      <w:r>
        <w:rPr>
          <w:rFonts w:ascii="Arial" w:hAnsi="Arial"/>
          <w:color w:val="334155"/>
          <w:sz w:val="20"/>
        </w:rPr>
        <w:t>إغلاق أول حلقة متكاملة عالمياً بين الذكاء التوليدي والتحقق الفراغي الإنساني الغامر، وهو موضوع يخلو من المنافسة تماماً (Zero Literature Gap) في كبريات المجلات العالمية 2025/2026!</w:t>
      </w:r>
    </w:p>
    <w:p>
      <w:pPr>
        <w:spacing w:before="320" w:after="120"/>
        <w:jc w:val="right"/>
        <w:bidi w:val="1"/>
      </w:pPr>
      <w:r>
        <w:rPr>
          <w:rFonts w:ascii="Arial" w:hAnsi="Arial"/>
          <w:b/>
          <w:color w:val="0284C7"/>
          <w:sz w:val="30"/>
        </w:rPr>
        <w:t>ثالثاً: مقترحات وملاحظات تفصيلية لتحسين وتطوير المقترح (Lead Reviewer Critiques)</w:t>
      </w:r>
    </w:p>
    <w:p>
      <w:pPr>
        <w:spacing w:before="40" w:after="80" w:line="300" w:lineRule="auto"/>
        <w:jc w:val="right"/>
        <w:bidi w:val="1"/>
      </w:pPr>
      <w:r>
        <w:rPr>
          <w:rFonts w:ascii="Arial" w:hAnsi="Arial"/>
          <w:color w:val="334155"/>
          <w:sz w:val="21"/>
        </w:rPr>
        <w:t>كمحكم رئيسي، أضع بين أيديكم هذه الملاحظات النقدية البناءة لترقية الصياغة المنهجية والأكاديمية للمقترح:</w:t>
      </w:r>
    </w:p>
    <w:p>
      <w:pPr>
        <w:spacing w:before="240" w:after="80"/>
        <w:jc w:val="right"/>
        <w:bidi w:val="1"/>
      </w:pPr>
      <w:r>
        <w:rPr>
          <w:rFonts w:ascii="Arial" w:hAnsi="Arial"/>
          <w:b/>
          <w:color w:val="0F172A"/>
          <w:sz w:val="25"/>
        </w:rPr>
        <w:t>1. تحسين وضبط عنوان البحث (Title Optimization):</w:t>
      </w:r>
    </w:p>
    <w:p>
      <w:pPr>
        <w:spacing w:before="40" w:after="80" w:line="300" w:lineRule="auto"/>
        <w:jc w:val="right"/>
        <w:bidi w:val="1"/>
      </w:pPr>
      <w:r>
        <w:rPr>
          <w:rFonts w:ascii="Arial" w:hAnsi="Arial"/>
          <w:color w:val="334155"/>
          <w:sz w:val="21"/>
        </w:rPr>
        <w:t>العنوان الحالي في المقترح: 'توظيف تقنيات الواقع المعزز والافتراضي (AR/VR) كمنصات تفاعلية لمراجعة التصميم المعماري والاشراف الموقعي' يُعد عنواناً وصفياً عاماً، يفتقر إلى تحديد المساهمة المنهجية (Methodological Contribution) والسياق المعياري. أقترح استبداله بأحد العناوين الرصينة التالية:</w:t>
      </w:r>
    </w:p>
    <w:tbl>
      <w:tblPr>
        <w:tblW w:type="auto" w:w="0"/>
        <w:jc w:val="center"/>
        <w:tblLook w:firstColumn="1" w:firstRow="1" w:lastColumn="0" w:lastRow="0" w:noHBand="0" w:noVBand="1" w:val="04A0"/>
        <w:bidiVisual w:val="1"/>
      </w:tblPr>
      <w:tblGrid>
        <w:gridCol w:w="9936"/>
      </w:tblGrid>
      <w:tr>
        <w:tc>
          <w:tcPr>
            <w:tcW w:type="dxa" w:w="9936"/>
            <w:shd w:fill="f0f9ff"/>
            <w:tcMar>
              <w:top w:w="120" w:type="dxa"/>
              <w:bottom w:w="120" w:type="dxa"/>
              <w:left w:w="180" w:type="dxa"/>
              <w:right w:w="180" w:type="dxa"/>
            </w:tcMar>
            <w:tcBorders>
              <w:top w:val="none"/>
              <w:left w:val="none"/>
              <w:bottom w:val="none"/>
              <w:right w:val="single" w:sz="36" w:space="0" w:color="0284c7"/>
            </w:tcBorders>
          </w:tcPr>
          <w:p>
            <w:pPr>
              <w:spacing w:before="40" w:after="40" w:line="288" w:lineRule="auto"/>
              <w:jc w:val="right"/>
              <w:bidi w:val="1"/>
            </w:pPr>
            <w:r>
              <w:rPr>
                <w:rFonts w:ascii="Arial" w:hAnsi="Arial"/>
                <w:b/>
                <w:color w:val="0284C7"/>
                <w:sz w:val="22"/>
              </w:rPr>
              <w:t>💡 العناوين الأكاديمية البديلة المقترحة للأطروحة:</w:t>
              <w:br/>
            </w:r>
            <w:r>
              <w:rPr>
                <w:rFonts w:ascii="Arial" w:hAnsi="Arial"/>
                <w:color w:val="1E293B"/>
                <w:sz w:val="20"/>
              </w:rPr>
              <w:t>1. الخيار الأول (الموصى به بشدة - شامل ومعياري):</w:t>
              <w:br/>
              <w:t>«إطار عمل تكاملي مغلق قائم على معايير OpenBIM و WebXR لمراجعة التعارضات المعمارية والتحقق الميداني الموقعي: دراسة تجريبية مقارنة لمشروع رعاية صحية LOD 350»</w:t>
              <w:br/>
              <w:t>"A Closed-Loop OpenBIM and WebXR Framework for Architectural Clash Review and Field Verification: A Controlled Comparative Study on an LOD 350 Healthcare Facility"</w:t>
              <w:br/>
              <w:br/>
              <w:t>2. الخيار الثاني (يركز على جودة الفضاء وخفض الحمل المعرفي):</w:t>
              <w:br/>
              <w:t>«فاعلية المراجعة الفراغية الغامرة 1:1 في حماية المقصد المعماري من تعارضات الخدمات: دراسة تجريبية للحمل المعرفي ودقة القرارات عبر WebXR و BCF»</w:t>
              <w:br/>
              <w:t>"Protecting Architectural Design Intent from MEP Clashes via 1:1 Immersive WebXR: An Empirical Evaluation of Decision Accuracy and Cognitive Load Using OpenBIM BCF"</w:t>
            </w:r>
          </w:p>
        </w:tc>
      </w:tr>
    </w:tbl>
    <w:p/>
    <w:p>
      <w:pPr>
        <w:spacing w:before="240" w:after="80"/>
        <w:jc w:val="right"/>
        <w:bidi w:val="1"/>
      </w:pPr>
      <w:r>
        <w:rPr>
          <w:rFonts w:ascii="Arial" w:hAnsi="Arial"/>
          <w:b/>
          <w:color w:val="0F172A"/>
          <w:sz w:val="25"/>
        </w:rPr>
        <w:t>2. إعادة صياغة الأسئلة البحثية وبناء الفرضيات الإحصائية الصريحة (Hypotheses Formulation):</w:t>
      </w:r>
    </w:p>
    <w:p>
      <w:pPr>
        <w:spacing w:before="40" w:after="80" w:line="300" w:lineRule="auto"/>
        <w:jc w:val="right"/>
        <w:bidi w:val="1"/>
      </w:pPr>
      <w:r>
        <w:rPr>
          <w:rFonts w:ascii="Arial" w:hAnsi="Arial"/>
          <w:color w:val="334155"/>
          <w:sz w:val="21"/>
        </w:rPr>
        <w:t>المقترح يطرح أسئلة نوعية ولكن دون فرضيات إحصائية قابلة للاختبار (Testable Hypotheses). يجب تضمين الفرضيات الصفرية والبديلة في المقترح لرفع رصانته العلمية:</w:t>
      </w:r>
    </w:p>
    <w:p>
      <w:pPr>
        <w:pStyle w:val="ListBullet"/>
        <w:spacing w:before="20" w:after="60" w:line="288" w:lineRule="auto"/>
        <w:jc w:val="right"/>
        <w:bidi w:val="1"/>
      </w:pPr>
      <w:r>
        <w:rPr>
          <w:rFonts w:ascii="Arial" w:hAnsi="Arial"/>
          <w:b/>
          <w:color w:val="0F172A"/>
          <w:sz w:val="20"/>
        </w:rPr>
        <w:t xml:space="preserve">الفرضية الإحصائية الأولى (معدل الاكتشاف والتعارضات اللينة): </w:t>
      </w:r>
      <w:r>
        <w:rPr>
          <w:rFonts w:ascii="Arial" w:hAnsi="Arial"/>
          <w:color w:val="334155"/>
          <w:sz w:val="20"/>
        </w:rPr>
        <w:t>الفرضية الصفرية H0,1: لا توجد فروق ذات دلالة إحصائية في معدل اكتشاف التعارضات التشغيلية والإدراكية بين مراجعة WebXR بمقياس 1:1 وفحص Navisworks المكتبي. مقابل الفرضية البديلة Ha,1: تحقق بيئة WebXR معدل اكتشاف أعلى معنوياً (μ_VR &gt; μ_Desktop) عند مستوى دلالة α = 0.05.</w:t>
      </w:r>
    </w:p>
    <w:p>
      <w:pPr>
        <w:pStyle w:val="ListBullet"/>
        <w:spacing w:before="20" w:after="60" w:line="288" w:lineRule="auto"/>
        <w:jc w:val="right"/>
        <w:bidi w:val="1"/>
      </w:pPr>
      <w:r>
        <w:rPr>
          <w:rFonts w:ascii="Arial" w:hAnsi="Arial"/>
          <w:b/>
          <w:color w:val="0F172A"/>
          <w:sz w:val="20"/>
        </w:rPr>
        <w:t xml:space="preserve">الفرضية الإحصائية الثانية (الحمل المعرفي NASA-TLX): </w:t>
      </w:r>
      <w:r>
        <w:rPr>
          <w:rFonts w:ascii="Arial" w:hAnsi="Arial"/>
          <w:color w:val="334155"/>
          <w:sz w:val="20"/>
        </w:rPr>
        <w:t>الفرضية الصفرية H0,2: لا يوجد فرق معنوي في الحمل الذهني المقاس بمؤشر NASA-TLX بين البيئتين. مقابل الفرضية البديلة Ha,2: تحقق بيئة WebXR انخفاضاً معنوياً في الحمل المعرفي الإجمالي ومعدل الإحباط (μ_VR(TLX) &lt; μ_Desktop(TLX)).</w:t>
      </w:r>
    </w:p>
    <w:p>
      <w:pPr>
        <w:pStyle w:val="ListBullet"/>
        <w:spacing w:before="20" w:after="60" w:line="288" w:lineRule="auto"/>
        <w:jc w:val="right"/>
        <w:bidi w:val="1"/>
      </w:pPr>
      <w:r>
        <w:rPr>
          <w:rFonts w:ascii="Arial" w:hAnsi="Arial"/>
          <w:b/>
          <w:color w:val="0F172A"/>
          <w:sz w:val="20"/>
        </w:rPr>
        <w:t xml:space="preserve">الفرضية الإحصائية الثالثة (زمن المعالجة وكفاءة BCF): </w:t>
      </w:r>
      <w:r>
        <w:rPr>
          <w:rFonts w:ascii="Arial" w:hAnsi="Arial"/>
          <w:color w:val="334155"/>
          <w:sz w:val="20"/>
        </w:rPr>
        <w:t>الفرضية الصفرية H0,3: لا توجد فروق ذات دلالة إحصائية في سرعة اتخاذ قرارات الحل المكاني وتوليد تقارير BCF. مقابل الفرضية البديلة Ha,3: تحقق بيئة WebXR زمناً أسرع إحصائياً في تسجيل التعارض بموثوقية عالية.</w:t>
      </w:r>
    </w:p>
    <w:p>
      <w:pPr>
        <w:spacing w:before="240" w:after="80"/>
        <w:jc w:val="right"/>
        <w:bidi w:val="1"/>
      </w:pPr>
      <w:r>
        <w:rPr>
          <w:rFonts w:ascii="Arial" w:hAnsi="Arial"/>
          <w:b/>
          <w:color w:val="0F172A"/>
          <w:sz w:val="25"/>
        </w:rPr>
        <w:t>3. إحكام التصميم التجريبي (Counterbalanced Latin Square Experimental Protocol):</w:t>
      </w:r>
    </w:p>
    <w:p>
      <w:pPr>
        <w:spacing w:before="40" w:after="80" w:line="300" w:lineRule="auto"/>
        <w:jc w:val="right"/>
        <w:bidi w:val="1"/>
      </w:pPr>
      <w:r>
        <w:rPr>
          <w:rFonts w:ascii="Arial" w:hAnsi="Arial"/>
          <w:color w:val="334155"/>
          <w:sz w:val="21"/>
        </w:rPr>
        <w:t>انتقدت المراجعات السابقة (مثل الدراسات 1 و 3 و 12 في جدول المقترح) اعتماد عينات صغيرة أو عدم ضبط 'أثر التعلم' (Learning Effect). لتلافي ذلك:</w:t>
      </w:r>
    </w:p>
    <w:p>
      <w:pPr>
        <w:pStyle w:val="ListBullet"/>
        <w:spacing w:before="20" w:after="60" w:line="288" w:lineRule="auto"/>
        <w:jc w:val="right"/>
        <w:bidi w:val="1"/>
      </w:pPr>
      <w:r>
        <w:rPr>
          <w:rFonts w:ascii="Arial" w:hAnsi="Arial"/>
          <w:b/>
          <w:color w:val="0F172A"/>
          <w:sz w:val="20"/>
        </w:rPr>
        <w:t xml:space="preserve">أ. حجم العينة المهنية: </w:t>
      </w:r>
      <w:r>
        <w:rPr>
          <w:rFonts w:ascii="Arial" w:hAnsi="Arial"/>
          <w:color w:val="334155"/>
          <w:sz w:val="20"/>
        </w:rPr>
        <w:t>تحديد حجم العينة بالتحليل القبلي (G*Power Analysis) لضمان قوة إحصائية Power = 0.80 وحجم أثر متوسط d = 0.5، مما يتطلب عينة بين 32 إلى 40 مشاركاً من المهنيين (معماريين، إنشائيين، ومهندسي MEP).</w:t>
      </w:r>
    </w:p>
    <w:p>
      <w:pPr>
        <w:pStyle w:val="ListBullet"/>
        <w:spacing w:before="20" w:after="60" w:line="288" w:lineRule="auto"/>
        <w:jc w:val="right"/>
        <w:bidi w:val="1"/>
      </w:pPr>
      <w:r>
        <w:rPr>
          <w:rFonts w:ascii="Arial" w:hAnsi="Arial"/>
          <w:b/>
          <w:color w:val="0F172A"/>
          <w:sz w:val="20"/>
        </w:rPr>
        <w:t xml:space="preserve">ب. التصميم التجريبي المتوازن (Within-Subjects Latin Square): </w:t>
      </w:r>
      <w:r>
        <w:rPr>
          <w:rFonts w:ascii="Arial" w:hAnsi="Arial"/>
          <w:color w:val="334155"/>
          <w:sz w:val="20"/>
        </w:rPr>
        <w:t>تقسيم مشروع الرعاية الصحية إلى قطاعين متكافئين تماماً في التعقيد وعدد التعارضات المزروعة (Sector Alpha و Sector Beta). المجموعة الأولى تفحص Sector Alpha على الشاشة ثم Sector Beta في VR، والمجموعة الثانية بالعكس، لمنع انتقال الخبرة وتحقيق التكافؤ التجريبي الصارم.</w:t>
      </w:r>
    </w:p>
    <w:p>
      <w:pPr>
        <w:spacing w:before="240" w:after="80"/>
        <w:jc w:val="right"/>
        <w:bidi w:val="1"/>
      </w:pPr>
      <w:r>
        <w:rPr>
          <w:rFonts w:ascii="Arial" w:hAnsi="Arial"/>
          <w:b/>
          <w:color w:val="0F172A"/>
          <w:sz w:val="25"/>
        </w:rPr>
        <w:t>4. حماية 'الهوية المعمارية' للأطروحة من الانزلاق التقني:</w:t>
      </w:r>
    </w:p>
    <w:p>
      <w:pPr>
        <w:spacing w:before="40" w:after="80" w:line="300" w:lineRule="auto"/>
        <w:jc w:val="right"/>
        <w:bidi w:val="1"/>
      </w:pPr>
      <w:r>
        <w:rPr>
          <w:rFonts w:ascii="Arial" w:hAnsi="Arial"/>
          <w:color w:val="334155"/>
          <w:sz w:val="21"/>
        </w:rPr>
        <w:t>يجب أن تظل الأطروحة راسخة في قسم الهندسة المعمارية؛ فحل التعارضات ليس هدفاً هندسياً ميكانيكياً مجرداً، بل هو حماية لـ 'المقصد التصميمي المعماري' (Architectural Design Intent). ركزوا على: كيف تؤدي المعالجة الآلية التقليدية إلى تشويه النسب الفراغية، وهبوط الأسقف المستعارة، وقطع محاور الحركة، وانعدام الإضاءة الطبيعية؛ وكيف تعيد بيئة WebXR بمقياس 1:1 الاعتبار للمهندس المعماري ليكون هو المنسق وصاحب القرار المكاني الأول.</w:t>
      </w:r>
    </w:p>
    <w:p>
      <w:pPr>
        <w:spacing w:before="240" w:after="80"/>
        <w:jc w:val="right"/>
        <w:bidi w:val="1"/>
      </w:pPr>
      <w:r>
        <w:rPr>
          <w:rFonts w:ascii="Arial" w:hAnsi="Arial"/>
          <w:b/>
          <w:color w:val="0F172A"/>
          <w:sz w:val="25"/>
        </w:rPr>
        <w:t>5. مصفوفة إدارة المخاطر الأكاديمية والتقنية (Risk Mitigation Matrix):</w:t>
      </w:r>
    </w:p>
    <w:tbl>
      <w:tblPr>
        <w:tblW w:type="auto" w:w="0"/>
        <w:jc w:val="center"/>
        <w:tblLook w:firstColumn="1" w:firstRow="1" w:lastColumn="0" w:lastRow="0" w:noHBand="0" w:noVBand="1" w:val="04A0"/>
        <w:bidiVisual w:val="1"/>
      </w:tblPr>
      <w:tblGrid>
        <w:gridCol w:w="3312"/>
        <w:gridCol w:w="3312"/>
        <w:gridCol w:w="3312"/>
      </w:tblGrid>
      <w:tr>
        <w:tc>
          <w:tcPr>
            <w:tcW w:type="dxa" w:w="3312"/>
            <w:tcMar>
              <w:top w:w="70" w:type="dxa"/>
              <w:bottom w:w="70" w:type="dxa"/>
              <w:left w:w="90" w:type="dxa"/>
              <w:right w:w="90" w:type="dxa"/>
            </w:tcMar>
            <w:shd w:fill="334155"/>
          </w:tcPr>
          <w:p>
            <w:pPr>
              <w:jc w:val="center"/>
              <w:bidi w:val="1"/>
            </w:pPr>
            <w:r>
              <w:rPr>
                <w:rFonts w:ascii="Arial" w:hAnsi="Arial"/>
                <w:b/>
                <w:color w:val="FFFFFF"/>
                <w:sz w:val="19"/>
              </w:rPr>
              <w:t>الخطر المحتمل</w:t>
            </w:r>
          </w:p>
        </w:tc>
        <w:tc>
          <w:tcPr>
            <w:tcW w:type="dxa" w:w="3312"/>
            <w:tcMar>
              <w:top w:w="70" w:type="dxa"/>
              <w:bottom w:w="70" w:type="dxa"/>
              <w:left w:w="90" w:type="dxa"/>
              <w:right w:w="90" w:type="dxa"/>
            </w:tcMar>
            <w:shd w:fill="334155"/>
          </w:tcPr>
          <w:p>
            <w:pPr>
              <w:jc w:val="center"/>
              <w:bidi w:val="1"/>
            </w:pPr>
            <w:r>
              <w:rPr>
                <w:rFonts w:ascii="Arial" w:hAnsi="Arial"/>
                <w:b/>
                <w:color w:val="FFFFFF"/>
                <w:sz w:val="19"/>
              </w:rPr>
              <w:t>مستوى الأثر</w:t>
            </w:r>
          </w:p>
        </w:tc>
        <w:tc>
          <w:tcPr>
            <w:tcW w:type="dxa" w:w="3312"/>
            <w:tcMar>
              <w:top w:w="70" w:type="dxa"/>
              <w:bottom w:w="70" w:type="dxa"/>
              <w:left w:w="90" w:type="dxa"/>
              <w:right w:w="90" w:type="dxa"/>
            </w:tcMar>
            <w:shd w:fill="334155"/>
          </w:tcPr>
          <w:p>
            <w:pPr>
              <w:jc w:val="center"/>
              <w:bidi w:val="1"/>
            </w:pPr>
            <w:r>
              <w:rPr>
                <w:rFonts w:ascii="Arial" w:hAnsi="Arial"/>
                <w:b/>
                <w:color w:val="FFFFFF"/>
                <w:sz w:val="19"/>
              </w:rPr>
              <w:t>استراتيجية المعالجة الوقائية المطبقة في المنصة</w:t>
            </w:r>
          </w:p>
        </w:tc>
      </w:tr>
      <w:tr>
        <w:tc>
          <w:tcPr>
            <w:tcW w:type="dxa" w:w="3312"/>
            <w:tcMar>
              <w:top w:w="70" w:type="dxa"/>
              <w:bottom w:w="70" w:type="dxa"/>
              <w:left w:w="90" w:type="dxa"/>
              <w:right w:w="90" w:type="dxa"/>
            </w:tcMar>
            <w:shd w:fill="f8fafc"/>
          </w:tcPr>
          <w:p>
            <w:pPr>
              <w:jc w:val="right"/>
              <w:bidi w:val="1"/>
            </w:pPr>
            <w:r>
              <w:rPr>
                <w:rFonts w:ascii="Arial" w:hAnsi="Arial"/>
                <w:sz w:val="17"/>
              </w:rPr>
              <w:t>دوار الحركة والغثيان الفراغي (Cybersickness)</w:t>
            </w:r>
          </w:p>
        </w:tc>
        <w:tc>
          <w:tcPr>
            <w:tcW w:type="dxa" w:w="3312"/>
            <w:tcMar>
              <w:top w:w="70" w:type="dxa"/>
              <w:bottom w:w="70" w:type="dxa"/>
              <w:left w:w="90" w:type="dxa"/>
              <w:right w:w="90" w:type="dxa"/>
            </w:tcMar>
            <w:shd w:fill="f8fafc"/>
          </w:tcPr>
          <w:p>
            <w:pPr>
              <w:jc w:val="right"/>
              <w:bidi w:val="1"/>
            </w:pPr>
            <w:r>
              <w:rPr>
                <w:rFonts w:ascii="Arial" w:hAnsi="Arial"/>
                <w:sz w:val="17"/>
              </w:rPr>
              <w:t>متوسط</w:t>
            </w:r>
          </w:p>
        </w:tc>
        <w:tc>
          <w:tcPr>
            <w:tcW w:type="dxa" w:w="3312"/>
            <w:tcMar>
              <w:top w:w="70" w:type="dxa"/>
              <w:bottom w:w="70" w:type="dxa"/>
              <w:left w:w="90" w:type="dxa"/>
              <w:right w:w="90" w:type="dxa"/>
            </w:tcMar>
            <w:shd w:fill="f8fafc"/>
          </w:tcPr>
          <w:p>
            <w:pPr>
              <w:jc w:val="right"/>
              <w:bidi w:val="1"/>
            </w:pPr>
            <w:r>
              <w:rPr>
                <w:rFonts w:ascii="Arial" w:hAnsi="Arial"/>
                <w:sz w:val="17"/>
              </w:rPr>
              <w:t>الحفاظ على معدل 60-90 FPS ثابت، وتفعيل التنقل الفوري (Teleportation) والحد من التسارع البصري، واستخدام استبيان SSQ لاستبعاد المتأثرين.</w:t>
            </w:r>
          </w:p>
        </w:tc>
      </w:tr>
      <w:tr>
        <w:tc>
          <w:tcPr>
            <w:tcW w:type="dxa" w:w="3312"/>
            <w:tcMar>
              <w:top w:w="70" w:type="dxa"/>
              <w:bottom w:w="70" w:type="dxa"/>
              <w:left w:w="90" w:type="dxa"/>
              <w:right w:w="90" w:type="dxa"/>
            </w:tcMar>
            <w:shd w:fill="ffffff"/>
          </w:tcPr>
          <w:p>
            <w:pPr>
              <w:jc w:val="right"/>
              <w:bidi w:val="1"/>
            </w:pPr>
            <w:r>
              <w:rPr>
                <w:rFonts w:ascii="Arial" w:hAnsi="Arial"/>
                <w:sz w:val="17"/>
              </w:rPr>
              <w:t>صعوبة معايرة AR في الموقع المفتوح وتشتت الإضاءة</w:t>
            </w:r>
          </w:p>
        </w:tc>
        <w:tc>
          <w:tcPr>
            <w:tcW w:type="dxa" w:w="3312"/>
            <w:tcMar>
              <w:top w:w="70" w:type="dxa"/>
              <w:bottom w:w="70" w:type="dxa"/>
              <w:left w:w="90" w:type="dxa"/>
              <w:right w:w="90" w:type="dxa"/>
            </w:tcMar>
            <w:shd w:fill="ffffff"/>
          </w:tcPr>
          <w:p>
            <w:pPr>
              <w:jc w:val="right"/>
              <w:bidi w:val="1"/>
            </w:pPr>
            <w:r>
              <w:rPr>
                <w:rFonts w:ascii="Arial" w:hAnsi="Arial"/>
                <w:sz w:val="17"/>
              </w:rPr>
              <w:t>متوسط</w:t>
            </w:r>
          </w:p>
        </w:tc>
        <w:tc>
          <w:tcPr>
            <w:tcW w:type="dxa" w:w="3312"/>
            <w:tcMar>
              <w:top w:w="70" w:type="dxa"/>
              <w:bottom w:w="70" w:type="dxa"/>
              <w:left w:w="90" w:type="dxa"/>
              <w:right w:w="90" w:type="dxa"/>
            </w:tcMar>
            <w:shd w:fill="ffffff"/>
          </w:tcPr>
          <w:p>
            <w:pPr>
              <w:jc w:val="right"/>
              <w:bidi w:val="1"/>
            </w:pPr>
            <w:r>
              <w:rPr>
                <w:rFonts w:ascii="Arial" w:hAnsi="Arial"/>
                <w:sz w:val="17"/>
              </w:rPr>
              <w:t>استخدام نظام معايرة هجين يجمع علامات ArUco / QR Code مع نقاط مساحية مرجعية مثبتة في الأعمدة الإنشائية للحد من الخطأ إلى &lt; 2cm.</w:t>
            </w:r>
          </w:p>
        </w:tc>
      </w:tr>
      <w:tr>
        <w:tc>
          <w:tcPr>
            <w:tcW w:type="dxa" w:w="3312"/>
            <w:tcMar>
              <w:top w:w="70" w:type="dxa"/>
              <w:bottom w:w="70" w:type="dxa"/>
              <w:left w:w="90" w:type="dxa"/>
              <w:right w:w="90" w:type="dxa"/>
            </w:tcMar>
            <w:shd w:fill="f8fafc"/>
          </w:tcPr>
          <w:p>
            <w:pPr>
              <w:jc w:val="right"/>
              <w:bidi w:val="1"/>
            </w:pPr>
            <w:r>
              <w:rPr>
                <w:rFonts w:ascii="Arial" w:hAnsi="Arial"/>
                <w:sz w:val="17"/>
              </w:rPr>
              <w:t>مقاومة المهندسين التقليديين للتكنولوجيا الجديدة</w:t>
            </w:r>
          </w:p>
        </w:tc>
        <w:tc>
          <w:tcPr>
            <w:tcW w:type="dxa" w:w="3312"/>
            <w:tcMar>
              <w:top w:w="70" w:type="dxa"/>
              <w:bottom w:w="70" w:type="dxa"/>
              <w:left w:w="90" w:type="dxa"/>
              <w:right w:w="90" w:type="dxa"/>
            </w:tcMar>
            <w:shd w:fill="f8fafc"/>
          </w:tcPr>
          <w:p>
            <w:pPr>
              <w:jc w:val="right"/>
              <w:bidi w:val="1"/>
            </w:pPr>
            <w:r>
              <w:rPr>
                <w:rFonts w:ascii="Arial" w:hAnsi="Arial"/>
                <w:sz w:val="17"/>
              </w:rPr>
              <w:t>منخفض</w:t>
            </w:r>
          </w:p>
        </w:tc>
        <w:tc>
          <w:tcPr>
            <w:tcW w:type="dxa" w:w="3312"/>
            <w:tcMar>
              <w:top w:w="70" w:type="dxa"/>
              <w:bottom w:w="70" w:type="dxa"/>
              <w:left w:w="90" w:type="dxa"/>
              <w:right w:w="90" w:type="dxa"/>
            </w:tcMar>
            <w:shd w:fill="f8fafc"/>
          </w:tcPr>
          <w:p>
            <w:pPr>
              <w:jc w:val="right"/>
              <w:bidi w:val="1"/>
            </w:pPr>
            <w:r>
              <w:rPr>
                <w:rFonts w:ascii="Arial" w:hAnsi="Arial"/>
                <w:sz w:val="17"/>
              </w:rPr>
              <w:t>اعتماد معيار WebXR الخفيف عبر المتصفح دون تعقيد التثبيت، مع واجهة مستخدم مبسطة تدعم أزرار الاختصارات ومحاكي الليزر المكتبي.</w:t>
            </w:r>
          </w:p>
        </w:tc>
      </w:tr>
    </w:tbl>
    <w:p/>
    <w:p>
      <w:pPr>
        <w:spacing w:before="320" w:after="120"/>
        <w:jc w:val="right"/>
        <w:bidi w:val="1"/>
      </w:pPr>
      <w:r>
        <w:rPr>
          <w:rFonts w:ascii="Arial" w:hAnsi="Arial"/>
          <w:b/>
          <w:color w:val="0284C7"/>
          <w:sz w:val="30"/>
        </w:rPr>
        <w:t>رابعاً: خطة العمل التنفيذية والجدول الزمني للبحث (PhD/MSc Milestones)</w:t>
      </w:r>
    </w:p>
    <w:p>
      <w:pPr>
        <w:spacing w:before="40" w:after="80" w:line="300" w:lineRule="auto"/>
        <w:jc w:val="right"/>
        <w:bidi w:val="1"/>
      </w:pPr>
      <w:r>
        <w:rPr>
          <w:rFonts w:ascii="Arial" w:hAnsi="Arial"/>
          <w:color w:val="334155"/>
          <w:sz w:val="21"/>
        </w:rPr>
        <w:t>برنامج زمني مقترح من 6 مراحل تنفيذية يضمن إنجاز الأطروحة ونشر ورقتين في مجلات Q1:</w:t>
      </w:r>
    </w:p>
    <w:p>
      <w:pPr>
        <w:pStyle w:val="ListBullet"/>
        <w:spacing w:before="20" w:after="60" w:line="288" w:lineRule="auto"/>
        <w:jc w:val="right"/>
        <w:bidi w:val="1"/>
      </w:pPr>
      <w:r>
        <w:rPr>
          <w:rFonts w:ascii="Arial" w:hAnsi="Arial"/>
          <w:b/>
          <w:color w:val="0F172A"/>
          <w:sz w:val="20"/>
        </w:rPr>
        <w:t xml:space="preserve">المرحلة 1 (الشهر 1 - 2): تجهيز الحالة الدراسية والنموذج المعياري — </w:t>
      </w:r>
      <w:r>
        <w:rPr>
          <w:rFonts w:ascii="Arial" w:hAnsi="Arial"/>
          <w:color w:val="334155"/>
          <w:sz w:val="20"/>
        </w:rPr>
        <w:t>تثبيت مصفوفة الـ 20 تعارضاً المعتمدة، وضبط نموذج مبنى الرعاية الصحية LOD 350 وتصديره بصيغة IFC2x3 و IFC4.</w:t>
      </w:r>
    </w:p>
    <w:p>
      <w:pPr>
        <w:pStyle w:val="ListBullet"/>
        <w:spacing w:before="20" w:after="60" w:line="288" w:lineRule="auto"/>
        <w:jc w:val="right"/>
        <w:bidi w:val="1"/>
      </w:pPr>
      <w:r>
        <w:rPr>
          <w:rFonts w:ascii="Arial" w:hAnsi="Arial"/>
          <w:b/>
          <w:color w:val="0F172A"/>
          <w:sz w:val="20"/>
        </w:rPr>
        <w:t xml:space="preserve">المرحلة 2 (الشهر 3 - 4): المواءمة البرمجية وتكامل BCF — </w:t>
      </w:r>
      <w:r>
        <w:rPr>
          <w:rFonts w:ascii="Arial" w:hAnsi="Arial"/>
          <w:color w:val="334155"/>
          <w:sz w:val="20"/>
        </w:rPr>
        <w:t>إعداد واجهة الـ AR الميدانية في منصة WebXR وضبط قراءة حزم BCF وتجربة محاكي الليزر ونظارة Meta Quest.</w:t>
      </w:r>
    </w:p>
    <w:p>
      <w:pPr>
        <w:pStyle w:val="ListBullet"/>
        <w:spacing w:before="20" w:after="60" w:line="288" w:lineRule="auto"/>
        <w:jc w:val="right"/>
        <w:bidi w:val="1"/>
      </w:pPr>
      <w:r>
        <w:rPr>
          <w:rFonts w:ascii="Arial" w:hAnsi="Arial"/>
          <w:b/>
          <w:color w:val="0F172A"/>
          <w:sz w:val="20"/>
        </w:rPr>
        <w:t xml:space="preserve">المرحلة 3 (الشهر 5 - 6): إجراء التجارب المعملية الغامرة (VR Lab) — </w:t>
      </w:r>
      <w:r>
        <w:rPr>
          <w:rFonts w:ascii="Arial" w:hAnsi="Arial"/>
          <w:color w:val="334155"/>
          <w:sz w:val="20"/>
        </w:rPr>
        <w:t>تطبيق التجربة المضبوطة على عينة من 32 مهندساً وفق تصميم Latin Square لقطاعي Alpha و Beta وجمع بيانات Telemetry و NASA-TLX و SUS.</w:t>
      </w:r>
    </w:p>
    <w:p>
      <w:pPr>
        <w:pStyle w:val="ListBullet"/>
        <w:spacing w:before="20" w:after="60" w:line="288" w:lineRule="auto"/>
        <w:jc w:val="right"/>
        <w:bidi w:val="1"/>
      </w:pPr>
      <w:r>
        <w:rPr>
          <w:rFonts w:ascii="Arial" w:hAnsi="Arial"/>
          <w:b/>
          <w:color w:val="0F172A"/>
          <w:sz w:val="20"/>
        </w:rPr>
        <w:t xml:space="preserve">المرحلة 4 (الشهر 7 - 8): التحقق الموقعي الميداني (Site AR) — </w:t>
      </w:r>
      <w:r>
        <w:rPr>
          <w:rFonts w:ascii="Arial" w:hAnsi="Arial"/>
          <w:color w:val="334155"/>
          <w:sz w:val="20"/>
        </w:rPr>
        <w:t>إجراء مطابقة الواقع المعزز في موقع إنشائي حقيقي وقياس دقة رصد الانحرافات واختبار استرجاع قضايا BCF.</w:t>
      </w:r>
    </w:p>
    <w:p>
      <w:pPr>
        <w:pStyle w:val="ListBullet"/>
        <w:spacing w:before="20" w:after="60" w:line="288" w:lineRule="auto"/>
        <w:jc w:val="right"/>
        <w:bidi w:val="1"/>
      </w:pPr>
      <w:r>
        <w:rPr>
          <w:rFonts w:ascii="Arial" w:hAnsi="Arial"/>
          <w:b/>
          <w:color w:val="0F172A"/>
          <w:sz w:val="20"/>
        </w:rPr>
        <w:t xml:space="preserve">المرحلة 5 (الشهر 9 - 10): المعالجة الإحصائية وكتابة الأوراق العلمية — </w:t>
      </w:r>
      <w:r>
        <w:rPr>
          <w:rFonts w:ascii="Arial" w:hAnsi="Arial"/>
          <w:color w:val="334155"/>
          <w:sz w:val="20"/>
        </w:rPr>
        <w:t>إجراء اختبارات ANOVA و Wilcoxon Signed-Rank وحساب أحجام الأثر، وصياغة ورقة المؤتمر والورقة العلمية الأولى لمجلة Q1.</w:t>
      </w:r>
    </w:p>
    <w:p>
      <w:pPr>
        <w:pStyle w:val="ListBullet"/>
        <w:spacing w:before="20" w:after="60" w:line="288" w:lineRule="auto"/>
        <w:jc w:val="right"/>
        <w:bidi w:val="1"/>
      </w:pPr>
      <w:r>
        <w:rPr>
          <w:rFonts w:ascii="Arial" w:hAnsi="Arial"/>
          <w:b/>
          <w:color w:val="0F172A"/>
          <w:sz w:val="20"/>
        </w:rPr>
        <w:t xml:space="preserve">المرحلة 6 (الشهر 11 - 12): إتمام الرسالة وتقديمها للمناقشة — </w:t>
      </w:r>
      <w:r>
        <w:rPr>
          <w:rFonts w:ascii="Arial" w:hAnsi="Arial"/>
          <w:color w:val="334155"/>
          <w:sz w:val="20"/>
        </w:rPr>
        <w:t>دمج النتائج ضمن فصول الأطروحة ومراجعة التوثيق والاستعداد للمناقشة النهائية.</w:t>
      </w:r>
    </w:p>
    <w:tbl>
      <w:tblPr>
        <w:tblW w:type="auto" w:w="0"/>
        <w:jc w:val="center"/>
        <w:tblLook w:firstColumn="1" w:firstRow="1" w:lastColumn="0" w:lastRow="0" w:noHBand="0" w:noVBand="1" w:val="04A0"/>
        <w:bidiVisual w:val="1"/>
      </w:tblPr>
      <w:tblGrid>
        <w:gridCol w:w="9936"/>
      </w:tblGrid>
      <w:tr>
        <w:tc>
          <w:tcPr>
            <w:tcW w:type="dxa" w:w="9936"/>
            <w:shd w:fill="f0f9ff"/>
            <w:tcMar>
              <w:top w:w="120" w:type="dxa"/>
              <w:bottom w:w="120" w:type="dxa"/>
              <w:left w:w="180" w:type="dxa"/>
              <w:right w:w="180" w:type="dxa"/>
            </w:tcMar>
            <w:tcBorders>
              <w:top w:val="none"/>
              <w:left w:val="none"/>
              <w:bottom w:val="none"/>
              <w:right w:val="single" w:sz="36" w:space="0" w:color="0284c7"/>
            </w:tcBorders>
          </w:tcPr>
          <w:p>
            <w:pPr>
              <w:spacing w:before="40" w:after="40" w:line="288" w:lineRule="auto"/>
              <w:jc w:val="right"/>
              <w:bidi w:val="1"/>
            </w:pPr>
            <w:r>
              <w:rPr>
                <w:rFonts w:ascii="Arial" w:hAnsi="Arial"/>
                <w:b/>
                <w:color w:val="0284C7"/>
                <w:sz w:val="22"/>
              </w:rPr>
              <w:t>🏆 التوصية التحكيمية الختامية (Final Recommendation): قبول مع تعديلات جوهرية تواكب المنصة (Accepted with Strategic Revisions)</w:t>
              <w:br/>
            </w:r>
            <w:r>
              <w:rPr>
                <w:rFonts w:ascii="Arial" w:hAnsi="Arial"/>
                <w:color w:val="1E293B"/>
                <w:sz w:val="20"/>
              </w:rPr>
              <w:t>خلاصة التحكيم الأكاديمي:</w:t>
              <w:br/>
              <w:t>المقترح البحثي في وضعه الراهن يمتلك أرضية فكرية ممتازة، ولكن دمجه مع «منصة WebXR OpenBIM المطورة» سينقله نقلة نوعية من مجرد «رسالة ماجستير/دكتوراه محلية تعتمد على محركات تجارية» إلى «مشروع بحثي دولي مبتكر ومتوافق مع أعلى معايير OpenBIM وحلقات BCF المغلقة»، ويؤهل الباحثة والأستاذ المشرف لنشر أبحاثهم في مجلات القمة (Automation in Construction و Advanced Engineering Informatics) بنجاح باهر ومؤكد بإذن الله تعالى.</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