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0F172A"/>
            <w:tcMar>
              <w:top w:w="220" w:type="dxa"/>
              <w:bottom w:w="220" w:type="dxa"/>
              <w:left w:w="240" w:type="dxa"/>
              <w:right w:w="240" w:type="dxa"/>
            </w:tcMar>
          </w:tcPr>
          <w:p>
            <w:pPr>
              <w:bidi/>
              <w:jc w:val="center"/>
            </w:pPr>
            <w:r>
              <w:rPr>
                <w:rFonts w:ascii="Traditional Arabic" w:hAnsi="Traditional Arabic"/>
                <w:b w:val="0"/>
                <w:i w:val="0"/>
                <w:color w:val="CBD5E1"/>
                <w:sz w:val="26"/>
                <w:rtl/>
                <w:rFonts w:ascii="Traditional Arabic" w:hAnsi="Traditional Arabic" w:cs="Traditional Arabic"/>
              </w:rPr>
              <w:t>جمهورية العراق - وزارة التعليم العالي والبحث العلمي</w:t>
            </w:r>
          </w:p>
          <w:p>
            <w:pPr>
              <w:bidi/>
              <w:jc w:val="center"/>
            </w:pPr>
            <w:r>
              <w:rPr>
                <w:rFonts w:ascii="Traditional Arabic" w:hAnsi="Traditional Arabic"/>
                <w:b/>
                <w:i w:val="0"/>
                <w:color w:val="38BDF8"/>
                <w:sz w:val="28"/>
                <w:rtl/>
                <w:rFonts w:ascii="Traditional Arabic" w:hAnsi="Traditional Arabic" w:cs="Traditional Arabic"/>
              </w:rPr>
              <w:t>جامعة التكنولوجيا / قسم الهندسة المعمارية - الدراسات العليا (الماجستير)</w:t>
            </w:r>
          </w:p>
          <w:p>
            <w:pPr>
              <w:bidi/>
              <w:jc w:val="center"/>
            </w:pPr>
            <w:r>
              <w:rPr>
                <w:rFonts w:ascii="Traditional Arabic" w:hAnsi="Traditional Arabic"/>
                <w:b/>
                <w:i w:val="0"/>
                <w:color w:val="FFFFFF"/>
                <w:sz w:val="36"/>
                <w:rtl/>
                <w:rFonts w:ascii="Traditional Arabic" w:hAnsi="Traditional Arabic" w:cs="Traditional Arabic"/>
              </w:rPr>
              <w:t>المقترح البحثي المطور لرسالة الماجستير (Research Proposal)</w:t>
            </w:r>
          </w:p>
        </w:tc>
      </w:tr>
    </w:tbl>
    <w:p/>
    <w:tbl>
      <w:tblPr>
        <w:tblW w:type="auto" w:w="0"/>
        <w:jc w:val="center"/>
        <w:tblLayout w:type="fixed"/>
        <w:tblLook w:firstColumn="1" w:firstRow="1" w:lastColumn="0" w:lastRow="0" w:noHBand="0" w:noVBand="1" w:val="04A0"/>
      </w:tblPr>
      <w:tblGrid>
        <w:gridCol w:w="6480"/>
        <w:gridCol w:w="2549"/>
      </w:tblGrid>
      <w:tr>
        <w:tc>
          <w:tcPr>
            <w:tcW w:type="dxa" w:w="4514"/>
            <w:shd w:fill="FFFFFF"/>
            <w:tcMar>
              <w:top w:w="80" w:type="dxa"/>
              <w:bottom w:w="80" w:type="dxa"/>
              <w:left w:w="120" w:type="dxa"/>
              <w:right w:w="120" w:type="dxa"/>
            </w:tcMar>
          </w:tcPr>
          <w:p>
            <w:pPr>
              <w:bidi/>
              <w:jc w:val="right"/>
            </w:pPr>
            <w:r>
              <w:rPr>
                <w:rFonts w:ascii="Traditional Arabic" w:hAnsi="Traditional Arabic"/>
                <w:b w:val="0"/>
                <w:i w:val="0"/>
                <w:color w:val="0F172A"/>
                <w:sz w:val="24"/>
                <w:rtl/>
                <w:rFonts w:ascii="Traditional Arabic" w:hAnsi="Traditional Arabic" w:cs="Traditional Arabic"/>
              </w:rPr>
              <w:t>أ.م.د. المهندس المعماري أحمد لؤي أحمد</w:t>
            </w:r>
          </w:p>
        </w:tc>
        <w:tc>
          <w:tcPr>
            <w:tcW w:type="dxa" w:w="4514"/>
            <w:shd w:fill="F1F5F9"/>
            <w:tcMar>
              <w:top w:w="80" w:type="dxa"/>
              <w:bottom w:w="80" w:type="dxa"/>
              <w:left w:w="120" w:type="dxa"/>
              <w:right w:w="120" w:type="dxa"/>
            </w:tcMar>
          </w:tcPr>
          <w:p>
            <w:pPr>
              <w:bidi/>
              <w:jc w:val="right"/>
            </w:pPr>
            <w:r>
              <w:rPr>
                <w:rFonts w:ascii="Traditional Arabic" w:hAnsi="Traditional Arabic"/>
                <w:b/>
                <w:i w:val="0"/>
                <w:color w:val="1E293B"/>
                <w:sz w:val="24"/>
                <w:rtl/>
                <w:rFonts w:ascii="Traditional Arabic" w:hAnsi="Traditional Arabic" w:cs="Traditional Arabic"/>
              </w:rPr>
              <w:t>إشراف وتأطير أكاديمي:</w:t>
            </w:r>
          </w:p>
        </w:tc>
      </w:tr>
      <w:tr>
        <w:tc>
          <w:tcPr>
            <w:tcW w:type="dxa" w:w="4514"/>
            <w:shd w:fill="FFFFFF"/>
            <w:tcMar>
              <w:top w:w="80" w:type="dxa"/>
              <w:bottom w:w="80" w:type="dxa"/>
              <w:left w:w="120" w:type="dxa"/>
              <w:right w:w="120" w:type="dxa"/>
            </w:tcMar>
          </w:tcPr>
          <w:p>
            <w:pPr>
              <w:bidi/>
              <w:jc w:val="right"/>
            </w:pPr>
            <w:r>
              <w:rPr>
                <w:rFonts w:ascii="Traditional Arabic" w:hAnsi="Traditional Arabic"/>
                <w:b w:val="0"/>
                <w:i w:val="0"/>
                <w:color w:val="0F172A"/>
                <w:sz w:val="24"/>
                <w:rtl/>
                <w:rFonts w:ascii="Traditional Arabic" w:hAnsi="Traditional Arabic" w:cs="Traditional Arabic"/>
              </w:rPr>
              <w:t>المهندسة ذرى مهدي</w:t>
            </w:r>
          </w:p>
        </w:tc>
        <w:tc>
          <w:tcPr>
            <w:tcW w:type="dxa" w:w="4514"/>
            <w:shd w:fill="F1F5F9"/>
            <w:tcMar>
              <w:top w:w="80" w:type="dxa"/>
              <w:bottom w:w="80" w:type="dxa"/>
              <w:left w:w="120" w:type="dxa"/>
              <w:right w:w="120" w:type="dxa"/>
            </w:tcMar>
          </w:tcPr>
          <w:p>
            <w:pPr>
              <w:bidi/>
              <w:jc w:val="right"/>
            </w:pPr>
            <w:r>
              <w:rPr>
                <w:rFonts w:ascii="Traditional Arabic" w:hAnsi="Traditional Arabic"/>
                <w:b/>
                <w:i w:val="0"/>
                <w:color w:val="1E293B"/>
                <w:sz w:val="24"/>
                <w:rtl/>
                <w:rFonts w:ascii="Traditional Arabic" w:hAnsi="Traditional Arabic" w:cs="Traditional Arabic"/>
              </w:rPr>
              <w:t>الباحثة / طالبة الماجستير:</w:t>
            </w:r>
          </w:p>
        </w:tc>
      </w:tr>
      <w:tr>
        <w:tc>
          <w:tcPr>
            <w:tcW w:type="dxa" w:w="4514"/>
            <w:shd w:fill="FFFFFF"/>
            <w:tcMar>
              <w:top w:w="80" w:type="dxa"/>
              <w:bottom w:w="80" w:type="dxa"/>
              <w:left w:w="120" w:type="dxa"/>
              <w:right w:w="120" w:type="dxa"/>
            </w:tcMar>
          </w:tcPr>
          <w:p>
            <w:pPr>
              <w:bidi/>
              <w:jc w:val="right"/>
            </w:pPr>
            <w:r>
              <w:rPr>
                <w:rFonts w:ascii="Traditional Arabic" w:hAnsi="Traditional Arabic"/>
                <w:b w:val="0"/>
                <w:i w:val="0"/>
                <w:color w:val="0F172A"/>
                <w:sz w:val="24"/>
                <w:rtl/>
                <w:rFonts w:ascii="Traditional Arabic" w:hAnsi="Traditional Arabic" w:cs="Traditional Arabic"/>
              </w:rPr>
              <w:t>تكنولوجيا العمارة والبيئات الغامرة (WebXR OpenBIM)</w:t>
            </w:r>
          </w:p>
        </w:tc>
        <w:tc>
          <w:tcPr>
            <w:tcW w:type="dxa" w:w="4514"/>
            <w:shd w:fill="F1F5F9"/>
            <w:tcMar>
              <w:top w:w="80" w:type="dxa"/>
              <w:bottom w:w="80" w:type="dxa"/>
              <w:left w:w="120" w:type="dxa"/>
              <w:right w:w="120" w:type="dxa"/>
            </w:tcMar>
          </w:tcPr>
          <w:p>
            <w:pPr>
              <w:bidi/>
              <w:jc w:val="right"/>
            </w:pPr>
            <w:r>
              <w:rPr>
                <w:rFonts w:ascii="Traditional Arabic" w:hAnsi="Traditional Arabic"/>
                <w:b/>
                <w:i w:val="0"/>
                <w:color w:val="1E293B"/>
                <w:sz w:val="24"/>
                <w:rtl/>
                <w:rFonts w:ascii="Traditional Arabic" w:hAnsi="Traditional Arabic" w:cs="Traditional Arabic"/>
              </w:rPr>
              <w:t>المسار البحثي التخصصي:</w:t>
            </w:r>
          </w:p>
        </w:tc>
      </w:tr>
      <w:tr>
        <w:tc>
          <w:tcPr>
            <w:tcW w:type="dxa" w:w="4514"/>
            <w:shd w:fill="FFFFFF"/>
            <w:tcMar>
              <w:top w:w="80" w:type="dxa"/>
              <w:bottom w:w="80" w:type="dxa"/>
              <w:left w:w="120" w:type="dxa"/>
              <w:right w:w="120" w:type="dxa"/>
            </w:tcMar>
          </w:tcPr>
          <w:p>
            <w:pPr>
              <w:bidi/>
              <w:jc w:val="right"/>
            </w:pPr>
            <w:r>
              <w:rPr>
                <w:rFonts w:ascii="Traditional Arabic" w:hAnsi="Traditional Arabic"/>
                <w:b w:val="0"/>
                <w:i w:val="0"/>
                <w:color w:val="0F172A"/>
                <w:sz w:val="24"/>
                <w:rtl/>
                <w:rFonts w:ascii="Traditional Arabic" w:hAnsi="Traditional Arabic" w:cs="Traditional Arabic"/>
              </w:rPr>
              <w:t>Scopus Q1 (Automation in Construction) / buildingSMART BCF</w:t>
            </w:r>
          </w:p>
        </w:tc>
        <w:tc>
          <w:tcPr>
            <w:tcW w:type="dxa" w:w="4514"/>
            <w:shd w:fill="F1F5F9"/>
            <w:tcMar>
              <w:top w:w="80" w:type="dxa"/>
              <w:bottom w:w="80" w:type="dxa"/>
              <w:left w:w="120" w:type="dxa"/>
              <w:right w:w="120" w:type="dxa"/>
            </w:tcMar>
          </w:tcPr>
          <w:p>
            <w:pPr>
              <w:bidi/>
              <w:jc w:val="right"/>
            </w:pPr>
            <w:r>
              <w:rPr>
                <w:rFonts w:ascii="Traditional Arabic" w:hAnsi="Traditional Arabic"/>
                <w:b/>
                <w:i w:val="0"/>
                <w:color w:val="1E293B"/>
                <w:sz w:val="24"/>
                <w:rtl/>
                <w:rFonts w:ascii="Traditional Arabic" w:hAnsi="Traditional Arabic" w:cs="Traditional Arabic"/>
              </w:rPr>
              <w:t>التوافق والمعايير:</w:t>
            </w:r>
          </w:p>
        </w:tc>
      </w:tr>
    </w:tbl>
    <w:p/>
    <w:tbl>
      <w:tblPr>
        <w:tblW w:type="auto" w:w="0"/>
        <w:jc w:val="center"/>
        <w:tblLook w:firstColumn="1" w:firstRow="1" w:lastColumn="0" w:lastRow="0" w:noHBand="0" w:noVBand="1" w:val="04A0"/>
      </w:tblPr>
      <w:tblGrid>
        <w:gridCol w:w="9029"/>
      </w:tblGrid>
      <w:tr>
        <w:tc>
          <w:tcPr>
            <w:tcW w:type="dxa" w:w="9029"/>
            <w:shd w:fill="E0F2FE"/>
            <w:tcMar>
              <w:top w:w="100" w:type="dxa"/>
              <w:bottom w:w="100" w:type="dxa"/>
              <w:left w:w="140" w:type="dxa"/>
              <w:right w:w="140" w:type="dxa"/>
            </w:tcMar>
          </w:tcPr>
          <w:p>
            <w:pPr>
              <w:bidi/>
              <w:jc w:val="right"/>
            </w:pPr>
            <w:r>
              <w:rPr>
                <w:rFonts w:ascii="Traditional Arabic" w:hAnsi="Traditional Arabic"/>
                <w:b/>
                <w:i w:val="0"/>
                <w:color w:val="0284C7"/>
                <w:sz w:val="24"/>
                <w:rtl/>
                <w:rFonts w:ascii="Traditional Arabic" w:hAnsi="Traditional Arabic" w:cs="Traditional Arabic"/>
              </w:rPr>
              <w:t>📌 العنوان العام المقترح للرسالة:</w:t>
              <w:br/>
            </w:r>
            <w:r>
              <w:rPr>
                <w:rFonts w:ascii="Traditional Arabic" w:hAnsi="Traditional Arabic"/>
                <w:b/>
                <w:i w:val="0"/>
                <w:color w:val="0C4A6E"/>
                <w:sz w:val="30"/>
                <w:rtl/>
                <w:rFonts w:ascii="Traditional Arabic" w:hAnsi="Traditional Arabic" w:cs="Traditional Arabic"/>
              </w:rPr>
              <w:t>«دور تقنيات الواقع المعزز والافتراضي في التصميم والإشراف المعماري»</w:t>
            </w:r>
          </w:p>
        </w:tc>
      </w:tr>
      <w:tr>
        <w:tc>
          <w:tcPr>
            <w:tcW w:type="dxa" w:w="9029"/>
            <w:shd w:fill="F0FDF4"/>
            <w:tcMar>
              <w:top w:w="100" w:type="dxa"/>
              <w:bottom w:w="100" w:type="dxa"/>
              <w:left w:w="140" w:type="dxa"/>
              <w:right w:w="140" w:type="dxa"/>
            </w:tcMar>
          </w:tcPr>
          <w:p>
            <w:pPr>
              <w:bidi/>
              <w:jc w:val="right"/>
            </w:pPr>
            <w:r>
              <w:rPr>
                <w:rFonts w:ascii="Traditional Arabic" w:hAnsi="Traditional Arabic"/>
                <w:b/>
                <w:i w:val="0"/>
                <w:color w:val="166534"/>
                <w:sz w:val="24"/>
                <w:rtl/>
                <w:rFonts w:ascii="Traditional Arabic" w:hAnsi="Traditional Arabic" w:cs="Traditional Arabic"/>
              </w:rPr>
              <w:t>🔬 العنوان التخصصي الدقيق الموصى به دولياً (للنشر في مجلات Scopus Q1):</w:t>
              <w:br/>
            </w:r>
            <w:r>
              <w:rPr>
                <w:rFonts w:ascii="Traditional Arabic" w:hAnsi="Traditional Arabic"/>
                <w:b/>
                <w:i w:val="0"/>
                <w:color w:val="14532D"/>
                <w:sz w:val="28"/>
                <w:rtl/>
                <w:rFonts w:ascii="Traditional Arabic" w:hAnsi="Traditional Arabic" w:cs="Traditional Arabic"/>
              </w:rPr>
              <w:t>«إطار عمل تكاملي مغلق قائم على معايير OpenBIM و WebXR لمراجعة التعارضات المعمارية والتحقق الميداني الموقعي: دراسة تجريبية مقارنة لمشروع رعاية صحية LOD 350»</w:t>
              <w:br/>
            </w:r>
            <w:r>
              <w:rPr>
                <w:rFonts w:ascii="Calibri" w:hAnsi="Calibri"/>
                <w:b w:val="0"/>
                <w:i/>
                <w:color w:val="334155"/>
                <w:sz w:val="21"/>
                <w:rtl/>
                <w:rFonts w:ascii="Calibri" w:hAnsi="Calibri" w:cs="Calibri"/>
              </w:rPr>
              <w:t>A Closed-Loop OpenBIM and WebXR Framework for Architectural Clash Review and Field Verification: A Controlled Comparative Study on an LOD 350 Healthcare Facility</w:t>
            </w:r>
          </w:p>
        </w:tc>
      </w:tr>
    </w:tbl>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1: المقدمة (Introduction)</w:t>
            </w:r>
          </w:p>
        </w:tc>
      </w:tr>
    </w:tbl>
    <w:p>
      <w:pPr>
        <w:bidi/>
        <w:jc w:val="right"/>
      </w:pPr>
      <w:r>
        <w:rPr>
          <w:rFonts w:ascii="Traditional Arabic" w:hAnsi="Traditional Arabic"/>
          <w:b/>
          <w:i/>
          <w:color w:val="475569"/>
          <w:sz w:val="23"/>
          <w:rtl/>
          <w:rFonts w:ascii="Traditional Arabic" w:hAnsi="Traditional Arabic" w:cs="Traditional Arabic"/>
        </w:rPr>
        <w:t>تمهيد عام للموضوع يتدرج من الإطار الواسع إلى الضيق (Funnel Approach) وصولاً إلى الفجوة المعرفية: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تمر دورة حياة المشروع المعماري بسلسلة معقدة ومتعاقبة من المراحل، تمثل مرحلتا التصميم التنفيذي (Pre-construction Design) والتنفيذ والإشراف الموقعي (On-site Supervision) النواتين الأكثر حرجاً وتأثيراً على الجودة والكلفة؛ نظراً لتعدد التخصصات الهندسية المشاركة (العمارة، الإنشاء، والأنظمة الكهروميكانيكية MEP).</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وعلى الرغم من النقلة النوعية التي حققتها بيئات نمذجة معلومات البناء (BIM) في التنسيق الرقمي، إلا أن الممارسة المهنية الحالية لا تزال حبيسة التمثيل عبر الشاشات ثنائية الأبعاد (2D Desktop Displays)، مما يقيد الإدراك الفضائي بالمقياس الحقيقي (1:1)، ويحجب العلاقات المكانية المعقدة بين عناصر المبنى. ونتيجة لذلك، تعجز خوارزميات الفحص الآلي الحالية (Automated Clash Detection) عن كشف التعارضات غير الهندسية كخلوصات الصيانة والتشغيل، أو حماية المقصد المعماري الأصيل (Architectural Design Intent)، مما يرحّل هذه المشكلات قسراً إلى موقع البناء.</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تتحول هذه الأخطاء في الموقع إلى أوامر تغيير (Change Orders) وإعادة عمل (Rework) تتراوح كلفتها بين 5% إلى 20% من إجمالي قيمة العقد (Volz et al., 2026)، وتصل أحياناً إلى خسائر فادحة تمس السلامة والوظيفة كما حدث في برج أوبال (Opal Tower) بسيدني بكلفة إصلاح تجاوزت 128 مليون دولار إسترليني إثر تعارض بين الاختصاصات لم يُكتشف إلا بعد التنفيذ (Chalhoub, Ayer &amp; McCord, 2021).</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وهنا تبرز التقنيات الغامرة (Immersive Technologies) كحل نوعي واعد؛ حيث يتيح الواقع الافتراضي (VR) بيئة محاكاة استباقية غامرة بمقياس 1:1 تُمكّن المعماري من مراجعة العلاقات الفضائية وحماية الخلوصات والجماليات قبل صب الخرسانة، بينما يُمثل الواقع المعزز (AR) مسطرة إشراف ميدانية تُسقط النموذج الرقمي المعتمد فوق الفضاء الفيزيائي المنفذ للمطابقة ورصد الانحرافات.</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إلا أن التحليل النقدي المعمق لـ 33 دراسة سابقة منشورة بين 2021 و 2026 يكشف عن انفصال منهجي حاد (Methodological Disconnection) بين التقنيتين؛ إذ تُوظف الأبحاث السابقة الـ VR بمعزل في مكاتب التصميم، أو الـ AR منفرداً في الموقع، دون وجود سير عمل رقمي موحد ومغلق (Closed-Loop Workflow) ينقل قرارات المراجعة الافتراضية إلى الميدان ويعيد توثيق انحرافات الموقع إلى نموذج التصميم المصدري دون فقدان للبيانات.</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2: المشكلة البحثية (Research Problem)</w:t>
            </w:r>
          </w:p>
        </w:tc>
      </w:tr>
    </w:tbl>
    <w:p>
      <w:pPr>
        <w:bidi/>
        <w:jc w:val="right"/>
      </w:pPr>
      <w:r>
        <w:rPr>
          <w:rFonts w:ascii="Traditional Arabic" w:hAnsi="Traditional Arabic"/>
          <w:b/>
          <w:i/>
          <w:color w:val="475569"/>
          <w:sz w:val="23"/>
          <w:rtl/>
          <w:rFonts w:ascii="Traditional Arabic" w:hAnsi="Traditional Arabic" w:cs="Traditional Arabic"/>
        </w:rPr>
        <w:t>التعريف الدقيق للفجوة المعرفية والقصور في الممارسة الحالية: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تتحدد المشكلة البحثية في جانبين جوهريين متكاملين يمثلان فجوة الممارسة الحالية: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1. القصور الإدراكي والوظيفي للفحص الآلي المنفصل في التصميم:</w:t>
      </w:r>
      <w:r>
        <w:rPr>
          <w:rFonts w:ascii="Traditional Arabic" w:hAnsi="Traditional Arabic"/>
          <w:b w:val="0"/>
          <w:i w:val="0"/>
          <w:color w:val="1E293B"/>
          <w:sz w:val="27"/>
          <w:rtl/>
          <w:rFonts w:ascii="Traditional Arabic" w:hAnsi="Traditional Arabic" w:cs="Traditional Arabic"/>
        </w:rPr>
        <w:t xml:space="preserve"> عجز برمجيات النمذجة ثنائية الأبعاد والفحص الآلي للتعارضات (مثل Navisworks) عن رصد التضحيات والتعارضات التشغيلية والفضائية غير الصلبة (Soft/Clearance Clashes)—التي تمثل أكثر من 75% من مشكلات التنسيق المعماري—والتي تؤدي حلولها الارتجالية في الموقع إلى تشويه المقصد التصميمي (كهبوط الأسقف المستعارة، أو إعاقة الحركة والوصولية الشاملة، أو ترحيل الفتحات المعمارية).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2. الانفصال الرقمي وانزياح التتبع في الإشراف الموقعي (The Open-Loop &amp; Drift Gap):</w:t>
      </w:r>
      <w:r>
        <w:rPr>
          <w:rFonts w:ascii="Traditional Arabic" w:hAnsi="Traditional Arabic"/>
          <w:b w:val="0"/>
          <w:i w:val="0"/>
          <w:color w:val="1E293B"/>
          <w:sz w:val="27"/>
          <w:rtl/>
          <w:rFonts w:ascii="Traditional Arabic" w:hAnsi="Traditional Arabic" w:cs="Traditional Arabic"/>
        </w:rPr>
        <w:t xml:space="preserve"> غياب حلقة تبادل بيانات مغلقة تربط مراجعة التصميم في الـ VR بالإشراف الميداني في الـ AR؛ حيث تعتمد الأبحاث السابقة على محركات ألعاب تجارية مغلقة ومعزولة (Unity / Unreal Engine) تشتت البيانات وتتطلب عتاداً حاسوبياً باهظاً، متزامنةً مع معضلة الانزياح الفضائي (Spatial Drift) وتأثر كاميرات الـ AR بظروف الإضاءة المتغيرة في المباني قيد الإنشاء، مما يُفقد الإشراف الميداني دقته المترية.</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3: أسئلة البحث (Research Questions)</w:t>
            </w:r>
          </w:p>
        </w:tc>
      </w:tr>
    </w:tbl>
    <w:p>
      <w:pPr>
        <w:bidi/>
        <w:jc w:val="right"/>
      </w:pPr>
      <w:r>
        <w:rPr>
          <w:rFonts w:ascii="Traditional Arabic" w:hAnsi="Traditional Arabic"/>
          <w:b/>
          <w:i/>
          <w:color w:val="475569"/>
          <w:sz w:val="23"/>
          <w:rtl/>
          <w:rFonts w:ascii="Traditional Arabic" w:hAnsi="Traditional Arabic" w:cs="Traditional Arabic"/>
        </w:rPr>
        <w:t>تفكيك المشكلة البحثية إلى تساؤل رئيسي وتساؤلات فرعية مركزة: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السؤال الرئيسي للبحث:</w:t>
      </w:r>
    </w:p>
    <w:p>
      <w:pPr>
        <w:bidi/>
        <w:spacing w:line="300" w:lineRule="auto" w:after="120"/>
        <w:jc w:val="both"/>
      </w:pPr>
      <w:r>
        <w:rPr>
          <w:rFonts w:ascii="Traditional Arabic" w:hAnsi="Traditional Arabic"/>
          <w:b/>
          <w:i w:val="0"/>
          <w:color w:val="0284C7"/>
          <w:sz w:val="28"/>
          <w:rtl/>
          <w:rFonts w:ascii="Traditional Arabic" w:hAnsi="Traditional Arabic" w:cs="Traditional Arabic"/>
        </w:rPr>
        <w:t>«ما مدى فاعلية إطار عمل تكاملي مغلق يجمع بين الواقع الافتراضي (VR) والواقع المعزز (AR) وفق معايير الويب المفتوحة (OpenBIM WebXR) في تحسين كشف التعارضات المعمارية قبل التنفيذ، وضبط انحرافات المطابقة أثناء الإشراف الموقعي، مقارنةً بالأسلوب التقليدي؟»</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الأسئلة الثانوية المتفرعة: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السؤال الفرعي الأول (التصميم و الـ VR):</w:t>
      </w:r>
      <w:r>
        <w:rPr>
          <w:rFonts w:ascii="Traditional Arabic" w:hAnsi="Traditional Arabic"/>
          <w:b w:val="0"/>
          <w:i w:val="0"/>
          <w:color w:val="1E293B"/>
          <w:sz w:val="27"/>
          <w:rtl/>
          <w:rFonts w:ascii="Traditional Arabic" w:hAnsi="Traditional Arabic" w:cs="Traditional Arabic"/>
        </w:rPr>
        <w:t xml:space="preserve"> ما هي أنماط التعارضات المعمارية والتشغيلية التي تتمكن مراجعة الـ VR الغامرة بمقياس 1:1 من كشفها، ويعجز عنها الفحص الآلي والرسوم الثنائية الأبعاد؟</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السؤال الفرعي الثاني (الموقع و الـ AR):</w:t>
      </w:r>
      <w:r>
        <w:rPr>
          <w:rFonts w:ascii="Traditional Arabic" w:hAnsi="Traditional Arabic"/>
          <w:b w:val="0"/>
          <w:i w:val="0"/>
          <w:color w:val="1E293B"/>
          <w:sz w:val="27"/>
          <w:rtl/>
          <w:rFonts w:ascii="Traditional Arabic" w:hAnsi="Traditional Arabic" w:cs="Traditional Arabic"/>
        </w:rPr>
        <w:t xml:space="preserve"> ما هو أصغر انحراف تنفيذي مكاني (ΔD) يمكن لمهندس الإشراف رصده وتوثيقه بالواقع المعزز في موقع حقيقي قيد الإنشاء، وما مدى كفاءة أسلوب المعايرة الهجينة (Hybrid Spatial Alignment) في تحجيم الخطأ المتري ضمن حدود مقبولة إحصائياً (≤ ±1.5 cm)؟</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السؤال الفرعي الثالث (حلقة التكامل BCF):</w:t>
      </w:r>
      <w:r>
        <w:rPr>
          <w:rFonts w:ascii="Traditional Arabic" w:hAnsi="Traditional Arabic"/>
          <w:b w:val="0"/>
          <w:i w:val="0"/>
          <w:color w:val="1E293B"/>
          <w:sz w:val="27"/>
          <w:rtl/>
          <w:rFonts w:ascii="Traditional Arabic" w:hAnsi="Traditional Arabic" w:cs="Traditional Arabic"/>
        </w:rPr>
        <w:t xml:space="preserve"> كيف تُنقل وتؤتمت نتائج مراجعة الـ VR المكتبي إلى تطبيق الـ AR الميداني وإرجاع تقارير التحقق الموقعي سحابياً إلى بيئة نمذجة التصميم الأصلي (Revit) ببروتوكول موحد دون أي تداول ورقي أو فقدان للبيانات؟</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السؤال الفرعي الرابع (الأثر الإدراكي والمهني):</w:t>
      </w:r>
      <w:r>
        <w:rPr>
          <w:rFonts w:ascii="Traditional Arabic" w:hAnsi="Traditional Arabic"/>
          <w:b w:val="0"/>
          <w:i w:val="0"/>
          <w:color w:val="1E293B"/>
          <w:sz w:val="27"/>
          <w:rtl/>
          <w:rFonts w:ascii="Traditional Arabic" w:hAnsi="Traditional Arabic" w:cs="Traditional Arabic"/>
        </w:rPr>
        <w:t xml:space="preserve"> ما أثر استخدام المنصة الغامرة الموحدة على اختصار زمن جلسات التنسيق، ومعدل دقة القرارات الهندسية، وتقليص الحمل المعرفي الذهني (Mental Workload) لدى فرق العمل المعمارية؟</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4: أهداف البحث (Research Objectives)</w:t>
            </w:r>
          </w:p>
        </w:tc>
      </w:tr>
    </w:tbl>
    <w:p>
      <w:pPr>
        <w:bidi/>
        <w:jc w:val="right"/>
      </w:pPr>
      <w:r>
        <w:rPr>
          <w:rFonts w:ascii="Traditional Arabic" w:hAnsi="Traditional Arabic"/>
          <w:b/>
          <w:i/>
          <w:color w:val="475569"/>
          <w:sz w:val="23"/>
          <w:rtl/>
          <w:rFonts w:ascii="Traditional Arabic" w:hAnsi="Traditional Arabic" w:cs="Traditional Arabic"/>
        </w:rPr>
        <w:t>ما يسعى البحث لتحقيقه بشكل ملموس ومترابط مع الأسئلة البحثية: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1. استكشاف وتصنيف التعارضات المعمارية والتشغيلية الغامرة:</w:t>
      </w:r>
      <w:r>
        <w:rPr>
          <w:rFonts w:ascii="Traditional Arabic" w:hAnsi="Traditional Arabic"/>
          <w:b w:val="0"/>
          <w:i w:val="0"/>
          <w:color w:val="1E293B"/>
          <w:sz w:val="27"/>
          <w:rtl/>
          <w:rFonts w:ascii="Traditional Arabic" w:hAnsi="Traditional Arabic" w:cs="Traditional Arabic"/>
        </w:rPr>
        <w:t xml:space="preserve"> بناء مصفوفة مرجعية للتعارضات (Ground Truth Benchmark Matrix) مؤلفة من 20 تعارضاً معمارياً وكهروميكانيكياً لمشروع منشأة صحية (LOD 350)، تتوزع بين تعارضات صلبة، وخلوصات تشغيل، وصيانة، وتعديات على المسارات الفضائية والوصولية الشاملة (Universal Design / ADA).</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2. تطوير منصة ويب تفاعلية موحدة (Unified OpenBIM WebXR Platform):</w:t>
      </w:r>
      <w:r>
        <w:rPr>
          <w:rFonts w:ascii="Traditional Arabic" w:hAnsi="Traditional Arabic"/>
          <w:b w:val="0"/>
          <w:i w:val="0"/>
          <w:color w:val="1E293B"/>
          <w:sz w:val="27"/>
          <w:rtl/>
          <w:rFonts w:ascii="Traditional Arabic" w:hAnsi="Traditional Arabic" w:cs="Traditional Arabic"/>
        </w:rPr>
        <w:t xml:space="preserve"> برمجة واختبار بيئة برمجية وحيدة الكود (One Codebase) عبر واجهة WebXR Device API ومكتبات Three.js و Web-IFC WebAssembly، تعمل بدون وسيط تجاري كـ VR داخل المكتب بنظارات Meta Quest، وكـ Pass-Through AR على الأجهزة اللوحية والهواتف الذكية في الموقع.</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3. تطبيق واختبار خوارزمية المعايرة الهجينة المكانية (Hybrid Spatial Alignment):</w:t>
      </w:r>
      <w:r>
        <w:rPr>
          <w:rFonts w:ascii="Traditional Arabic" w:hAnsi="Traditional Arabic"/>
          <w:b w:val="0"/>
          <w:i w:val="0"/>
          <w:color w:val="1E293B"/>
          <w:sz w:val="27"/>
          <w:rtl/>
          <w:rFonts w:ascii="Traditional Arabic" w:hAnsi="Traditional Arabic" w:cs="Traditional Arabic"/>
        </w:rPr>
        <w:t xml:space="preserve"> معايرة ومطابقة الإسقاط الرقمي على الهيكل الإنشائي الميداني بالاعتماد على نقاط ضبط مساحية مرجعية (Control Points) ورموز استجابة (ArUco / QR Markers) مثبتة على الأعمدة الخرسانية، لضمان استقرار النموذج واختبار دقة رصد الانحرافات المكانية (≤ ±1.5 cm).</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4. أتمتة دورة تبادل البيانات بحلقة مغلقة (Closed-Loop BCF Engine):</w:t>
      </w:r>
      <w:r>
        <w:rPr>
          <w:rFonts w:ascii="Traditional Arabic" w:hAnsi="Traditional Arabic"/>
          <w:b w:val="0"/>
          <w:i w:val="0"/>
          <w:color w:val="1E293B"/>
          <w:sz w:val="27"/>
          <w:rtl/>
          <w:rFonts w:ascii="Traditional Arabic" w:hAnsi="Traditional Arabic" w:cs="Traditional Arabic"/>
        </w:rPr>
        <w:t xml:space="preserve"> دمج بروتوكول تنسيق التعاون المفتوح (BCF 2.1/3.0 JSON) لالتقاط معرفات العناصر الدولية (GlobalId) وإحداثيات الرؤية الفضائية ثلاثية الأبعاد (X, Y, Z) لحظياً، وتصدير واستيراد التقارير سحابياً وتحديث حالة العناصر من Open إلى Verified with Deviation دون أي تداول ورقي.</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5. تقييم الأداء والمقارنة التجريبية المضبوطة:</w:t>
      </w:r>
      <w:r>
        <w:rPr>
          <w:rFonts w:ascii="Traditional Arabic" w:hAnsi="Traditional Arabic"/>
          <w:b w:val="0"/>
          <w:i w:val="0"/>
          <w:color w:val="1E293B"/>
          <w:sz w:val="27"/>
          <w:rtl/>
          <w:rFonts w:ascii="Traditional Arabic" w:hAnsi="Traditional Arabic" w:cs="Traditional Arabic"/>
        </w:rPr>
        <w:t xml:space="preserve"> قياس الفاعلية التجريبية للإطار المقترح بمقارنته مع الأسلوب المكتبي التقليدي من خلال مؤشرات كمية ونوعية معيارية تشمل: معدل اكتشاف الأخطاء، وزمن الاجتماع، ومقياس سهولة الاستخدام (SUS)، ومؤشر الحمل المعرفي (NASA-TLX).</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5: أهمية البحث (Research Significance)</w:t>
            </w:r>
          </w:p>
        </w:tc>
      </w:tr>
    </w:tbl>
    <w:p>
      <w:pPr>
        <w:bidi/>
        <w:jc w:val="right"/>
      </w:pPr>
      <w:r>
        <w:rPr>
          <w:rFonts w:ascii="Traditional Arabic" w:hAnsi="Traditional Arabic"/>
          <w:b/>
          <w:i/>
          <w:color w:val="475569"/>
          <w:sz w:val="23"/>
          <w:rtl/>
          <w:rFonts w:ascii="Traditional Arabic" w:hAnsi="Traditional Arabic" w:cs="Traditional Arabic"/>
        </w:rPr>
        <w:t>القيمة المضافة الأكاديمية والتطبيقية المجتمعية: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أولاً: القيمة المضافة الأكاديمية والنظرية: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سد الفجوة المعرفية بين المرحلتين:</w:t>
      </w:r>
      <w:r>
        <w:rPr>
          <w:rFonts w:ascii="Traditional Arabic" w:hAnsi="Traditional Arabic"/>
          <w:b w:val="0"/>
          <w:i w:val="0"/>
          <w:color w:val="1E293B"/>
          <w:sz w:val="27"/>
          <w:rtl/>
          <w:rFonts w:ascii="Traditional Arabic" w:hAnsi="Traditional Arabic" w:cs="Traditional Arabic"/>
        </w:rPr>
        <w:t xml:space="preserve"> يقدم البحث أول إطار نظري وتطبيقي عالمي يدمج الـ VR والـ AR في دورة بيانات مغلقة واحدة تخاطب مشكلات الهندسة المعمارية بدلاً من عزل كل مرحلة كما في دراسات الأدبيات السابقة (Yigitbas et al., 2023; Bhatarai et al., 2024).</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إعادة الاعتبار للهوية والتأطير المعماري:</w:t>
      </w:r>
      <w:r>
        <w:rPr>
          <w:rFonts w:ascii="Traditional Arabic" w:hAnsi="Traditional Arabic"/>
          <w:b w:val="0"/>
          <w:i w:val="0"/>
          <w:color w:val="1E293B"/>
          <w:sz w:val="27"/>
          <w:rtl/>
          <w:rFonts w:ascii="Traditional Arabic" w:hAnsi="Traditional Arabic" w:cs="Traditional Arabic"/>
        </w:rPr>
        <w:t xml:space="preserve"> نقل مفهوم كشف التعارضات من مجرد صراع هندسي ميكانيكي بحت (Clash Detection) إلى حماية الفضاء والمقصد التصميمي (Preserving Design Intent)؛ إذ يثبت البحث أن حل التعارض بالقرارات الغامرة يحمي الارتفاعات الصافية، والإنارة الطبيعية، وتيسير حركة ذوي الإعاقة.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التحول إلى معايير الويب المفتوحة (Open Standards):</w:t>
      </w:r>
      <w:r>
        <w:rPr>
          <w:rFonts w:ascii="Traditional Arabic" w:hAnsi="Traditional Arabic"/>
          <w:b w:val="0"/>
          <w:i w:val="0"/>
          <w:color w:val="1E293B"/>
          <w:sz w:val="27"/>
          <w:rtl/>
          <w:rFonts w:ascii="Traditional Arabic" w:hAnsi="Traditional Arabic" w:cs="Traditional Arabic"/>
        </w:rPr>
        <w:t xml:space="preserve"> التأسيس لمسار بحثي جديد يستبدل محركات الألعاب المغلقة (Game Engines) بمعمارية الويب المعيارية (WebXR &amp; OpenBIM)، مما يلغي قيود فقدان البيانات واحتكار التراخيص التجارية.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ثانياً: القيمة المضافة التطبيقية والمهنية (المجتمعية):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تقليص الهدر المالي والزمني:</w:t>
      </w:r>
      <w:r>
        <w:rPr>
          <w:rFonts w:ascii="Traditional Arabic" w:hAnsi="Traditional Arabic"/>
          <w:b w:val="0"/>
          <w:i w:val="0"/>
          <w:color w:val="1E293B"/>
          <w:sz w:val="27"/>
          <w:rtl/>
          <w:rFonts w:ascii="Traditional Arabic" w:hAnsi="Traditional Arabic" w:cs="Traditional Arabic"/>
        </w:rPr>
        <w:t xml:space="preserve"> تفادي أوامر التغيير وإعادة العمل في مشاريع البناء ذات التعقيد العالي (كالمستشفيات والمباني العامة) بنسب تقارب 15% إلى 25% من تكاليف إعادة العمل الميداني.</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تسهيل الإشراف الميداني بدون كلفة باهظة:</w:t>
      </w:r>
      <w:r>
        <w:rPr>
          <w:rFonts w:ascii="Traditional Arabic" w:hAnsi="Traditional Arabic"/>
          <w:b w:val="0"/>
          <w:i w:val="0"/>
          <w:color w:val="1E293B"/>
          <w:sz w:val="27"/>
          <w:rtl/>
          <w:rFonts w:ascii="Traditional Arabic" w:hAnsi="Traditional Arabic" w:cs="Traditional Arabic"/>
        </w:rPr>
        <w:t xml:space="preserve"> تمكين مهندسي الموقع من استخدام هواتفهم وأجهزتهم اللوحية الشخصية أو نظارات الجيل الحديث كنوافذ فحص ورصد دقيقة تُغني عن المخططات الورقية المتراكمة.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الربط السحابي مع برمجيات النمذجة (Revit/Navisworks):</w:t>
      </w:r>
      <w:r>
        <w:rPr>
          <w:rFonts w:ascii="Traditional Arabic" w:hAnsi="Traditional Arabic"/>
          <w:b w:val="0"/>
          <w:i w:val="0"/>
          <w:color w:val="1E293B"/>
          <w:sz w:val="27"/>
          <w:rtl/>
          <w:rFonts w:ascii="Traditional Arabic" w:hAnsi="Traditional Arabic" w:cs="Traditional Arabic"/>
        </w:rPr>
        <w:t xml:space="preserve"> إغلاق دورة العمل الرقمية بالكامل بدون وسائط ورقية، مما يعزز ممارسات الاستدامة والتحول الرقمي لقطاع التشييد والبناء (AEC).</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6: نطاق وحدود البحث (Research Scope &amp; Limitations)</w:t>
            </w:r>
          </w:p>
        </w:tc>
      </w:tr>
    </w:tbl>
    <w:p>
      <w:pPr>
        <w:bidi/>
        <w:jc w:val="right"/>
      </w:pPr>
      <w:r>
        <w:rPr>
          <w:rFonts w:ascii="Traditional Arabic" w:hAnsi="Traditional Arabic"/>
          <w:b/>
          <w:i/>
          <w:color w:val="475569"/>
          <w:sz w:val="23"/>
          <w:rtl/>
          <w:rFonts w:ascii="Traditional Arabic" w:hAnsi="Traditional Arabic" w:cs="Traditional Arabic"/>
        </w:rPr>
        <w:t>تأطير الحدود الموضوعية والتقنية والمكانية ومحددات الدراسة: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الحدود الموضوعية (Thematic Scope):</w:t>
      </w:r>
      <w:r>
        <w:rPr>
          <w:rFonts w:ascii="Traditional Arabic" w:hAnsi="Traditional Arabic"/>
          <w:b w:val="0"/>
          <w:i w:val="0"/>
          <w:color w:val="1E293B"/>
          <w:sz w:val="27"/>
          <w:rtl/>
          <w:rFonts w:ascii="Traditional Arabic" w:hAnsi="Traditional Arabic" w:cs="Traditional Arabic"/>
        </w:rPr>
        <w:t xml:space="preserve"> ينصب البحث على فحص التعارضات المعمارية والتشغيلية ورصد انحرافات التنفيذ الموقعي الناتجة عن تداخل المنظومات المعمارية مع شبكات الـ MEP (مجاري الهواء HVAC، شبكات الغازات الطبية، أنابيب الصرف والتغذية المضغوطة، والخلوصات التشغيلية لصمامات التحكم).</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الحدود التقنية (Technological Scope):</w:t>
      </w:r>
      <w:r>
        <w:rPr>
          <w:rFonts w:ascii="Traditional Arabic" w:hAnsi="Traditional Arabic"/>
          <w:b w:val="0"/>
          <w:i w:val="0"/>
          <w:color w:val="1E293B"/>
          <w:sz w:val="27"/>
          <w:rtl/>
          <w:rFonts w:ascii="Traditional Arabic" w:hAnsi="Traditional Arabic" w:cs="Traditional Arabic"/>
        </w:rPr>
        <w:t xml:space="preserve"> الاعتماد حصرياً على معايير الويب المفتوحة (WebXR Device API، بروتوكول BCF 2.1/3.0، وتنسيق IFC عبر مكتبة Web-IFC). وتشمل الأجهزة الغامرة المعتمدة نظارات Meta Quest 3 / Quest 2، إلى جانب المتصفحات القياسية للهواتف الذكية والأجهزة اللوحية (Chrome / Safari / WebXR Viewer)، ومحاكي مؤشر الليزر المكتبي (6-DoF Simulator).</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الحدود المكانية والميدانية (Spatial Scope):</w:t>
      </w:r>
      <w:r>
        <w:rPr>
          <w:rFonts w:ascii="Traditional Arabic" w:hAnsi="Traditional Arabic"/>
          <w:b w:val="0"/>
          <w:i w:val="0"/>
          <w:color w:val="1E293B"/>
          <w:sz w:val="27"/>
          <w:rtl/>
          <w:rFonts w:ascii="Traditional Arabic" w:hAnsi="Traditional Arabic" w:cs="Traditional Arabic"/>
        </w:rPr>
        <w:t xml:space="preserve"> تطبيق الدراسة على مشروع واقعي متكامل لمنشأة صحية تخصصية (LOD 350 Healthcare Facility) تحتوي على تعقيد شبكي ومعماري عالٍ، مع إجراء التحقق الميداني في بيئة مبنى حقيقي قيد الإنشاء لاختبار دقة المطابقة.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محددات البحث (Limitations):</w:t>
      </w:r>
      <w:r>
        <w:rPr>
          <w:rFonts w:ascii="Traditional Arabic" w:hAnsi="Traditional Arabic"/>
          <w:b w:val="0"/>
          <w:i w:val="0"/>
          <w:color w:val="1E293B"/>
          <w:sz w:val="27"/>
          <w:rtl/>
          <w:rFonts w:ascii="Traditional Arabic" w:hAnsi="Traditional Arabic" w:cs="Traditional Arabic"/>
        </w:rPr>
        <w:t xml:space="preserve"> التغيرات البيئية الفيزيائية في الموقع (كتباين الإضاءة الشديد والغبار) التي قد تؤثر مؤقتاً على قراءة الكاميرات للرموز؛ ويُعالج ذلك بالاعتماد على نقاط التتبع الهجين (Control Points). كما يُشترط ألا يقل مستوى تفاصيل النموذج الرقمي عن LOD 350 لضمان دقة الخلوصات الهندسية وقطع الربط.</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7: منهجية البحث (Research Methodology)</w:t>
            </w:r>
          </w:p>
        </w:tc>
      </w:tr>
    </w:tbl>
    <w:p>
      <w:pPr>
        <w:bidi/>
        <w:jc w:val="right"/>
      </w:pPr>
      <w:r>
        <w:rPr>
          <w:rFonts w:ascii="Traditional Arabic" w:hAnsi="Traditional Arabic"/>
          <w:b/>
          <w:i/>
          <w:color w:val="475569"/>
          <w:sz w:val="23"/>
          <w:rtl/>
          <w:rFonts w:ascii="Traditional Arabic" w:hAnsi="Traditional Arabic" w:cs="Traditional Arabic"/>
        </w:rPr>
        <w:t>الخطة التشغيلية والأدوات والمؤشرات المستخدمة (منهجية مختلطة تجريبية):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يتبنى البحث المنهجية المختلطة المتوازية (Mixed-Methods Experimental Design) بطبيعة تطبيقية وتجريبية بنسبة 70% وإطار نظري بنسبة 30%، وتنتظم في 4 مراحل متتابعة: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1. الإطار النظري والتأطير المعماري (30%):</w:t>
      </w:r>
      <w:r>
        <w:rPr>
          <w:rFonts w:ascii="Traditional Arabic" w:hAnsi="Traditional Arabic"/>
          <w:b w:val="0"/>
          <w:i w:val="0"/>
          <w:color w:val="1E293B"/>
          <w:sz w:val="27"/>
          <w:rtl/>
          <w:rFonts w:ascii="Traditional Arabic" w:hAnsi="Traditional Arabic" w:cs="Traditional Arabic"/>
        </w:rPr>
        <w:t xml:space="preserve"> تحليل الأدبيات (33 دراسة سابقة) ونظريات الإدراك الفضائي الغامر، وصياغة مصفوفة الـ 20 تعارضاً المرجعية (Ground Truth Matrix).</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2. التطوير البرمجي للمنصة (Design Science Research):</w:t>
      </w:r>
      <w:r>
        <w:rPr>
          <w:rFonts w:ascii="Traditional Arabic" w:hAnsi="Traditional Arabic"/>
          <w:b w:val="0"/>
          <w:i w:val="0"/>
          <w:color w:val="1E293B"/>
          <w:sz w:val="27"/>
          <w:rtl/>
          <w:rFonts w:ascii="Traditional Arabic" w:hAnsi="Traditional Arabic" w:cs="Traditional Arabic"/>
        </w:rPr>
        <w:t xml:space="preserve"> بناء محرك OpenBIM WebXR (One Codebase) الموحد للـ VR و الـ AR، وبرمجة موديول المعايرة الهجينة 1:1 ونظام BCF المغلق.</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3. التجربة المعملية والميدانية المقارنة المضبوطة:</w:t>
      </w:r>
      <w:r>
        <w:rPr>
          <w:rFonts w:ascii="Traditional Arabic" w:hAnsi="Traditional Arabic"/>
          <w:b w:val="0"/>
          <w:i w:val="0"/>
          <w:color w:val="1E293B"/>
          <w:sz w:val="27"/>
          <w:rtl/>
          <w:rFonts w:ascii="Traditional Arabic" w:hAnsi="Traditional Arabic" w:cs="Traditional Arabic"/>
        </w:rPr>
        <w:t xml:space="preserve"> اختيار عينة مهنية ممثلة من 32 إلى 40 مهندساً (معماريين وكهروميكانيك)، وتطبيق بروتوكول المربع اللاتيني المتوازن (Latin Square Design) بين المجموعة الضابطة (أسلوب تقليدي) والمجموعة التجريبية (منصة WebXR).</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4. القياس الإحصائي والتحليل (Data Analysis):</w:t>
      </w:r>
      <w:r>
        <w:rPr>
          <w:rFonts w:ascii="Traditional Arabic" w:hAnsi="Traditional Arabic"/>
          <w:b w:val="0"/>
          <w:i w:val="0"/>
          <w:color w:val="1E293B"/>
          <w:sz w:val="27"/>
          <w:rtl/>
          <w:rFonts w:ascii="Traditional Arabic" w:hAnsi="Traditional Arabic" w:cs="Traditional Arabic"/>
        </w:rPr>
        <w:t xml:space="preserve"> اختبار الفرضيات الإحصائية (T-Test &amp; ANOVA) لمعدل الاكتشاف والزمن، وقياس الحمل المعرفي (NASA-TLX) وسهولة الاستخدام (SUS).</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الأدوات والمؤشرات المقاسة:</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المؤشرات الكمية والميكانيكية:</w:t>
      </w:r>
      <w:r>
        <w:rPr>
          <w:rFonts w:ascii="Traditional Arabic" w:hAnsi="Traditional Arabic"/>
          <w:b w:val="0"/>
          <w:i w:val="0"/>
          <w:color w:val="1E293B"/>
          <w:sz w:val="27"/>
          <w:rtl/>
          <w:rFonts w:ascii="Traditional Arabic" w:hAnsi="Traditional Arabic" w:cs="Traditional Arabic"/>
        </w:rPr>
        <w:t xml:space="preserve"> معدل اكتشاف التعارضات (Clash Detection Rate %)، زمن إنجاز الجلسة (الدقائق)، نسبة الإنذارات الخاطئة (False Positives)، والخطأ المكاني المتري للمطابقة الموقعية (Drift Error ≤ 1.5 cm).</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المؤشرات الإدراكية والنوعية:</w:t>
      </w:r>
      <w:r>
        <w:rPr>
          <w:rFonts w:ascii="Traditional Arabic" w:hAnsi="Traditional Arabic"/>
          <w:b w:val="0"/>
          <w:i w:val="0"/>
          <w:color w:val="1E293B"/>
          <w:sz w:val="27"/>
          <w:rtl/>
          <w:rFonts w:ascii="Traditional Arabic" w:hAnsi="Traditional Arabic" w:cs="Traditional Arabic"/>
        </w:rPr>
        <w:t xml:space="preserve"> مقياس تقييم الحمل الذهني والمعرفي المعتمد دولياً (NASA-TLX)، مقياس سهولة وقابلية استخدام النظم البرمجية (SUS)، واستبانة حماية المقصد المعماري وجودة الفضاء الداخلي.</w:t>
      </w:r>
    </w:p>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40" w:type="dxa"/>
              <w:right w:w="140" w:type="dxa"/>
            </w:tcMar>
          </w:tcPr>
          <w:p>
            <w:pPr>
              <w:bidi/>
              <w:jc w:val="right"/>
            </w:pPr>
            <w:r>
              <w:rPr>
                <w:rFonts w:ascii="Traditional Arabic" w:hAnsi="Traditional Arabic"/>
                <w:b/>
                <w:i w:val="0"/>
                <w:color w:val="38BDF8"/>
                <w:sz w:val="30"/>
                <w:rtl/>
                <w:rFonts w:ascii="Traditional Arabic" w:hAnsi="Traditional Arabic" w:cs="Traditional Arabic"/>
              </w:rPr>
              <w:t>المحور 8: هيكلية البحث المقترحة (Research Structure)</w:t>
            </w:r>
          </w:p>
        </w:tc>
      </w:tr>
    </w:tbl>
    <w:p>
      <w:pPr>
        <w:bidi/>
        <w:jc w:val="right"/>
      </w:pPr>
      <w:r>
        <w:rPr>
          <w:rFonts w:ascii="Traditional Arabic" w:hAnsi="Traditional Arabic"/>
          <w:b/>
          <w:i/>
          <w:color w:val="475569"/>
          <w:sz w:val="23"/>
          <w:rtl/>
          <w:rFonts w:ascii="Traditional Arabic" w:hAnsi="Traditional Arabic" w:cs="Traditional Arabic"/>
        </w:rPr>
        <w:t>استعراض موجز ومقترح لفصول رسالة الماجستير الخمسة:</w:t>
      </w:r>
    </w:p>
    <w:p>
      <w:pPr>
        <w:bidi/>
        <w:spacing w:line="300" w:lineRule="auto" w:after="120"/>
        <w:jc w:val="both"/>
      </w:pPr>
      <w:r>
        <w:rPr>
          <w:rFonts w:ascii="Traditional Arabic" w:hAnsi="Traditional Arabic"/>
          <w:b w:val="0"/>
          <w:i w:val="0"/>
          <w:color w:val="1E293B"/>
          <w:sz w:val="27"/>
          <w:rtl/>
          <w:rFonts w:ascii="Traditional Arabic" w:hAnsi="Traditional Arabic" w:cs="Traditional Arabic"/>
        </w:rPr>
        <w:t>تتوزع فصول رسالة الماجستير على خمسة فصول متماسكة على النحو الآتي:</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الفصل الأول:</w:t>
      </w:r>
      <w:r>
        <w:rPr>
          <w:rFonts w:ascii="Traditional Arabic" w:hAnsi="Traditional Arabic"/>
          <w:b w:val="0"/>
          <w:i w:val="0"/>
          <w:color w:val="1E293B"/>
          <w:sz w:val="27"/>
          <w:rtl/>
          <w:rFonts w:ascii="Traditional Arabic" w:hAnsi="Traditional Arabic" w:cs="Traditional Arabic"/>
        </w:rPr>
        <w:t xml:space="preserve"> الإطار العام للبحث (General Introduction &amp; Research Framework): يتناول خلفية البحث، وتفكيك المشكلة البحثية، والأسئلة والأهداف، والأهمية العلمية والمهنية، ومحددات البحث، ومنهجية العمل.</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الفصل الثاني:</w:t>
      </w:r>
      <w:r>
        <w:rPr>
          <w:rFonts w:ascii="Traditional Arabic" w:hAnsi="Traditional Arabic"/>
          <w:b w:val="0"/>
          <w:i w:val="0"/>
          <w:color w:val="1E293B"/>
          <w:sz w:val="27"/>
          <w:rtl/>
          <w:rFonts w:ascii="Traditional Arabic" w:hAnsi="Traditional Arabic" w:cs="Traditional Arabic"/>
        </w:rPr>
        <w:t xml:space="preserve"> الإطار النظري والأدبيات السابقة (Theoretical Framework &amp; Literature Review): يستعرض 4 مباحث؛ إشكاليات التنسيق المعماري وتعارضات الـ MEP، نظريات الإدراك الفضائي بمقياس 1:1 في الـ VR، الواقع المعزز (AR) ومشاكل الانزياح الفضائي الموقعي، ومعايير الويب المفتوحة (OpenBIM, WebXR, BCF).</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الفصل الثالث:</w:t>
      </w:r>
      <w:r>
        <w:rPr>
          <w:rFonts w:ascii="Traditional Arabic" w:hAnsi="Traditional Arabic"/>
          <w:b w:val="0"/>
          <w:i w:val="0"/>
          <w:color w:val="1E293B"/>
          <w:sz w:val="27"/>
          <w:rtl/>
          <w:rFonts w:ascii="Traditional Arabic" w:hAnsi="Traditional Arabic" w:cs="Traditional Arabic"/>
        </w:rPr>
        <w:t xml:space="preserve"> تصميم وتطوير منصة العمل التفاعلية (System Architecture &amp; Development): استعراض البنية البرمجية لمنصة OpenBIM WebXR الموحدة، آليات فك وتصيير نماذج الـ IFC عبر المتصفح، تطوير موديول المعايرة الهجينة (ArUco / Control Points)، وهيكلة محرك تبادل البيانات المغلق ببروتوكول BCF 2.1/3.0.</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الفصل الرابع:</w:t>
      </w:r>
      <w:r>
        <w:rPr>
          <w:rFonts w:ascii="Traditional Arabic" w:hAnsi="Traditional Arabic"/>
          <w:b w:val="0"/>
          <w:i w:val="0"/>
          <w:color w:val="1E293B"/>
          <w:sz w:val="27"/>
          <w:rtl/>
          <w:rFonts w:ascii="Traditional Arabic" w:hAnsi="Traditional Arabic" w:cs="Traditional Arabic"/>
        </w:rPr>
        <w:t xml:space="preserve"> الدراسة التجريبية الميدانية والتحليل الإحصائي (Experimental Study &amp; Results): وصف حالة الدراسة (منشأة صحية LOD 350 ومصفوفة الـ 20 تعارضاً)، تفاصيل العينة وتطبيق المربع اللاتيني، عرض وتحليل البيانات الإحصائية المقارنة ومناقشة تفوق الإطار المقترح.</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الفصل الخامس:</w:t>
      </w:r>
      <w:r>
        <w:rPr>
          <w:rFonts w:ascii="Traditional Arabic" w:hAnsi="Traditional Arabic"/>
          <w:b w:val="0"/>
          <w:i w:val="0"/>
          <w:color w:val="1E293B"/>
          <w:sz w:val="27"/>
          <w:rtl/>
          <w:rFonts w:ascii="Traditional Arabic" w:hAnsi="Traditional Arabic" w:cs="Traditional Arabic"/>
        </w:rPr>
        <w:t xml:space="preserve"> الاستنتاجات والتوصيات وآفاق البحث المستقبلي (Conclusions &amp; Recommendations): استخلاص الاستنتاجات المعمارية والتقنية، التوصيات للمكاتب الهندسية وشركات المقاولات وجهات الاعتماد الأكاديمي، والآفاق المستقبلية (الربط مع الذكاء الاصطناعي التوليدي ومحاكاة وصولية الكراسي المتحركة 1:1).</w:t>
      </w:r>
    </w:p>
    <w:p>
      <w:pPr>
        <w:bidi/>
        <w:spacing w:line="300" w:lineRule="auto" w:after="120"/>
        <w:jc w:val="both"/>
      </w:pPr>
      <w:r>
        <w:rPr>
          <w:rFonts w:ascii="Traditional Arabic" w:hAnsi="Traditional Arabic"/>
          <w:b/>
          <w:i w:val="0"/>
          <w:color w:val="0F172A"/>
          <w:sz w:val="27"/>
          <w:rtl/>
          <w:rFonts w:ascii="Traditional Arabic" w:hAnsi="Traditional Arabic" w:cs="Traditional Arabic"/>
        </w:rPr>
        <w:t>• المراجع والملاحق:</w:t>
      </w:r>
      <w:r>
        <w:rPr>
          <w:rFonts w:ascii="Traditional Arabic" w:hAnsi="Traditional Arabic"/>
          <w:b w:val="0"/>
          <w:i w:val="0"/>
          <w:color w:val="1E293B"/>
          <w:sz w:val="27"/>
          <w:rtl/>
          <w:rFonts w:ascii="Traditional Arabic" w:hAnsi="Traditional Arabic" w:cs="Traditional Arabic"/>
        </w:rPr>
        <w:t xml:space="preserve"> مصفوفة التعارضات العشرين، نماذج الاستبيانات المعتمدة، وشيفرات البرمجة المفتوحة.</w:t>
      </w:r>
    </w:p>
    <w:p/>
    <w:sectPr w:rsidR="00FC693F" w:rsidRPr="0006063C" w:rsidSect="00034616">
      <w:pgSz w:w="11909" w:h="16834"/>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