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Similarities Across Three 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Similarity Category</w:t>
            </w:r>
          </w:p>
        </w:tc>
        <w:tc>
          <w:tcPr>
            <w:tcW w:type="dxa" w:w="4320"/>
          </w:tcPr>
          <w:p>
            <w:r>
              <w:t>Details Across All Three Use Cases</w:t>
            </w:r>
          </w:p>
        </w:tc>
      </w:tr>
      <w:tr>
        <w:tc>
          <w:tcPr>
            <w:tcW w:type="dxa" w:w="4320"/>
          </w:tcPr>
          <w:p>
            <w:r>
              <w:t>AI/ML/GenAI Integration</w:t>
            </w:r>
          </w:p>
        </w:tc>
        <w:tc>
          <w:tcPr>
            <w:tcW w:type="dxa" w:w="4320"/>
          </w:tcPr>
          <w:p>
            <w:r>
              <w:t>All three solutions incorporate AI/ML components for processing, ranking, and generating outputs. They use Computer Vision (YOLOv8/Detectron2) for object/person/logo detection, NLP (Whisper) for transcription and sentiment/tone analysis, and GenAI for content enhancement (captions, summaries, rewriting).</w:t>
            </w:r>
          </w:p>
        </w:tc>
      </w:tr>
      <w:tr>
        <w:tc>
          <w:tcPr>
            <w:tcW w:type="dxa" w:w="4320"/>
          </w:tcPr>
          <w:p>
            <w:r>
              <w:t>Metadata Enrichment</w:t>
            </w:r>
          </w:p>
        </w:tc>
        <w:tc>
          <w:tcPr>
            <w:tcW w:type="dxa" w:w="4320"/>
          </w:tcPr>
          <w:p>
            <w:r>
              <w:t>Each use case enhances assets (content or media) with structured metadata, which is used for ranking, searching, filtering, or approval workflows.</w:t>
            </w:r>
          </w:p>
        </w:tc>
      </w:tr>
      <w:tr>
        <w:tc>
          <w:tcPr>
            <w:tcW w:type="dxa" w:w="4320"/>
          </w:tcPr>
          <w:p>
            <w:r>
              <w:t>Integration with External Platforms</w:t>
            </w:r>
          </w:p>
        </w:tc>
        <w:tc>
          <w:tcPr>
            <w:tcW w:type="dxa" w:w="4320"/>
          </w:tcPr>
          <w:p>
            <w:r>
              <w:t>All integrate with SharePoint or Imagen DAM systems for metadata or asset management. DCPO uses Sprinklr/Monday.com APIs, while PRMO and SAIL also connect to DAM systems and, in SAIL’s case, social APIs like Sprinklr.</w:t>
            </w:r>
          </w:p>
        </w:tc>
      </w:tr>
      <w:tr>
        <w:tc>
          <w:tcPr>
            <w:tcW w:type="dxa" w:w="4320"/>
          </w:tcPr>
          <w:p>
            <w:r>
              <w:t>Microservices Architecture</w:t>
            </w:r>
          </w:p>
        </w:tc>
        <w:tc>
          <w:tcPr>
            <w:tcW w:type="dxa" w:w="4320"/>
          </w:tcPr>
          <w:p>
            <w:r>
              <w:t>All follow a modular microservices-based backend design using FastAPI or Node.js, enabling separate AI processing layers, integration layers, and UI layers.</w:t>
            </w:r>
          </w:p>
        </w:tc>
      </w:tr>
      <w:tr>
        <w:tc>
          <w:tcPr>
            <w:tcW w:type="dxa" w:w="4320"/>
          </w:tcPr>
          <w:p>
            <w:r>
              <w:t>Web-based UI</w:t>
            </w:r>
          </w:p>
        </w:tc>
        <w:tc>
          <w:tcPr>
            <w:tcW w:type="dxa" w:w="4320"/>
          </w:tcPr>
          <w:p>
            <w:r>
              <w:t>All include a ReactJS (or React/Angular) web console/dashboard for managing content/media, reviewing AI outputs, and performing searches or approvals.</w:t>
            </w:r>
          </w:p>
        </w:tc>
      </w:tr>
      <w:tr>
        <w:tc>
          <w:tcPr>
            <w:tcW w:type="dxa" w:w="4320"/>
          </w:tcPr>
          <w:p>
            <w:r>
              <w:t>Cloud Deployment &amp; DevOps</w:t>
            </w:r>
          </w:p>
        </w:tc>
        <w:tc>
          <w:tcPr>
            <w:tcW w:type="dxa" w:w="4320"/>
          </w:tcPr>
          <w:p>
            <w:r>
              <w:t>All are designed for cloud-native deployment (Azure/AWS), with Docker containerization and CI/CD pipelines (GitHub Actions, Azure Pipelines).</w:t>
            </w:r>
          </w:p>
        </w:tc>
      </w:tr>
      <w:tr>
        <w:tc>
          <w:tcPr>
            <w:tcW w:type="dxa" w:w="4320"/>
          </w:tcPr>
          <w:p>
            <w:r>
              <w:t>Security &amp; Compliance</w:t>
            </w:r>
          </w:p>
        </w:tc>
        <w:tc>
          <w:tcPr>
            <w:tcW w:type="dxa" w:w="4320"/>
          </w:tcPr>
          <w:p>
            <w:r>
              <w:t>Each implements RBAC (Role-Based Access Control), OAuth2/Azure AD authentication, encryption at rest and in transit, and GDPR-compliant workflows.</w:t>
            </w:r>
          </w:p>
        </w:tc>
      </w:tr>
      <w:tr>
        <w:tc>
          <w:tcPr>
            <w:tcW w:type="dxa" w:w="4320"/>
          </w:tcPr>
          <w:p>
            <w:r>
              <w:t>Auditability &amp; Governance</w:t>
            </w:r>
          </w:p>
        </w:tc>
        <w:tc>
          <w:tcPr>
            <w:tcW w:type="dxa" w:w="4320"/>
          </w:tcPr>
          <w:p>
            <w:r>
              <w:t>All provide audit trails for tracking AI/GenAI outputs and system actions to ensure transparency and compliance.</w:t>
            </w:r>
          </w:p>
        </w:tc>
      </w:tr>
      <w:tr>
        <w:tc>
          <w:tcPr>
            <w:tcW w:type="dxa" w:w="4320"/>
          </w:tcPr>
          <w:p>
            <w:r>
              <w:t>Performance &amp; Impact Goals</w:t>
            </w:r>
          </w:p>
        </w:tc>
        <w:tc>
          <w:tcPr>
            <w:tcW w:type="dxa" w:w="4320"/>
          </w:tcPr>
          <w:p>
            <w:r>
              <w:t>All aim to improve operational efficiency, speed up workflows, and enhance content/media quality for stakeholders.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Designed for high-volume content/media processing, with architecture enabling scaling of AI modules and backend services to handle peak loads.</w:t>
            </w:r>
          </w:p>
        </w:tc>
      </w:tr>
      <w:tr>
        <w:tc>
          <w:tcPr>
            <w:tcW w:type="dxa" w:w="4320"/>
          </w:tcPr>
          <w:p>
            <w:r>
              <w:t>Future Extensibility</w:t>
            </w:r>
          </w:p>
        </w:tc>
        <w:tc>
          <w:tcPr>
            <w:tcW w:type="dxa" w:w="4320"/>
          </w:tcPr>
          <w:p>
            <w:r>
              <w:t>Each has future roadmap items for adding new AI models, real-time processing, or expanded integrations with publishing or analytics platforms.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