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Refined AI Use Cases by Teams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Team</w:t>
            </w:r>
          </w:p>
        </w:tc>
        <w:tc>
          <w:tcPr>
            <w:tcW w:type="dxa" w:w="2160"/>
          </w:tcPr>
          <w:p>
            <w:r>
              <w:t>Problem Statement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Potential Use Case</w:t>
            </w:r>
          </w:p>
        </w:tc>
      </w:tr>
      <w:tr>
        <w:tc>
          <w:tcPr>
            <w:tcW w:type="dxa" w:w="2160"/>
          </w:tcPr>
          <w:p>
            <w:r>
              <w:t>Operations / Scheduling</w:t>
            </w:r>
          </w:p>
        </w:tc>
        <w:tc>
          <w:tcPr>
            <w:tcW w:type="dxa" w:w="2160"/>
          </w:tcPr>
          <w:p>
            <w:r>
              <w:t>Manual coordination using Excel and WhatsApp for minute-by-minute event tracking</w:t>
            </w:r>
          </w:p>
        </w:tc>
        <w:tc>
          <w:tcPr>
            <w:tcW w:type="dxa" w:w="2160"/>
          </w:tcPr>
          <w:p>
            <w:r>
              <w:t>Operational inefficiencies and lack of real-time visibility on race day schedules and team movement</w:t>
            </w:r>
          </w:p>
        </w:tc>
        <w:tc>
          <w:tcPr>
            <w:tcW w:type="dxa" w:w="2160"/>
          </w:tcPr>
          <w:p>
            <w:r>
              <w:t>Real-time Schedule Coordination using AI-powered mobile apps for dynamic task and resource scheduling</w:t>
            </w:r>
          </w:p>
        </w:tc>
      </w:tr>
      <w:tr>
        <w:tc>
          <w:tcPr>
            <w:tcW w:type="dxa" w:w="2160"/>
          </w:tcPr>
          <w:p>
            <w:r>
              <w:t>Partnerships</w:t>
            </w:r>
          </w:p>
        </w:tc>
        <w:tc>
          <w:tcPr>
            <w:tcW w:type="dxa" w:w="2160"/>
          </w:tcPr>
          <w:p>
            <w:r>
              <w:t>Manual tracking and limited insight into market outreach and partner management</w:t>
            </w:r>
          </w:p>
        </w:tc>
        <w:tc>
          <w:tcPr>
            <w:tcW w:type="dxa" w:w="2160"/>
          </w:tcPr>
          <w:p>
            <w:r>
              <w:t>Difficulty identifying promising motorsport markets and trends, and monitoring partner KPIs</w:t>
            </w:r>
          </w:p>
        </w:tc>
        <w:tc>
          <w:tcPr>
            <w:tcW w:type="dxa" w:w="2160"/>
          </w:tcPr>
          <w:p>
            <w:r>
              <w:t>AI-driven Market &amp; Partnership Insights to analyze outreach success and identify high-value opportunities</w:t>
            </w:r>
          </w:p>
        </w:tc>
      </w:tr>
      <w:tr>
        <w:tc>
          <w:tcPr>
            <w:tcW w:type="dxa" w:w="2160"/>
          </w:tcPr>
          <w:p>
            <w:r>
              <w:t>PR &amp; Communications</w:t>
            </w:r>
          </w:p>
        </w:tc>
        <w:tc>
          <w:tcPr>
            <w:tcW w:type="dxa" w:w="2160"/>
          </w:tcPr>
          <w:p>
            <w:r>
              <w:t>Delayed, manual PR content creation and lack of media sentiment tracking</w:t>
            </w:r>
          </w:p>
        </w:tc>
        <w:tc>
          <w:tcPr>
            <w:tcW w:type="dxa" w:w="2160"/>
          </w:tcPr>
          <w:p>
            <w:r>
              <w:t>Inefficient PR operations and missed reputational risks during live events</w:t>
            </w:r>
          </w:p>
        </w:tc>
        <w:tc>
          <w:tcPr>
            <w:tcW w:type="dxa" w:w="2160"/>
          </w:tcPr>
          <w:p>
            <w:r>
              <w:t>Media Sentiment Monitoring and AI-generated Press Releases for real-time narrative management</w:t>
            </w:r>
          </w:p>
        </w:tc>
      </w:tr>
      <w:tr>
        <w:tc>
          <w:tcPr>
            <w:tcW w:type="dxa" w:w="2160"/>
          </w:tcPr>
          <w:p>
            <w:r>
              <w:t>Legal</w:t>
            </w:r>
          </w:p>
        </w:tc>
        <w:tc>
          <w:tcPr>
            <w:tcW w:type="dxa" w:w="2160"/>
          </w:tcPr>
          <w:p>
            <w:r>
              <w:t>Compliance and contract management scattered across systems and formats</w:t>
            </w:r>
          </w:p>
        </w:tc>
        <w:tc>
          <w:tcPr>
            <w:tcW w:type="dxa" w:w="2160"/>
          </w:tcPr>
          <w:p>
            <w:r>
              <w:t>Difficulty accessing, reviewing and actioning contractual obligations and legal forms</w:t>
            </w:r>
          </w:p>
        </w:tc>
        <w:tc>
          <w:tcPr>
            <w:tcW w:type="dxa" w:w="2160"/>
          </w:tcPr>
          <w:p>
            <w:r>
              <w:t>AI-Powered Contract Analyzer for compliance validation, key obligation tracking, and summarization</w:t>
            </w:r>
          </w:p>
        </w:tc>
      </w:tr>
      <w:tr>
        <w:tc>
          <w:tcPr>
            <w:tcW w:type="dxa" w:w="2160"/>
          </w:tcPr>
          <w:p>
            <w:r>
              <w:t>Finance</w:t>
            </w:r>
          </w:p>
        </w:tc>
        <w:tc>
          <w:tcPr>
            <w:tcW w:type="dxa" w:w="2160"/>
          </w:tcPr>
          <w:p>
            <w:r>
              <w:t>Non-customized Tableau reporting and delayed financial updates</w:t>
            </w:r>
          </w:p>
        </w:tc>
        <w:tc>
          <w:tcPr>
            <w:tcW w:type="dxa" w:w="2160"/>
          </w:tcPr>
          <w:p>
            <w:r>
              <w:t>Limited visibility into financial performance across racing season due to reporting lag</w:t>
            </w:r>
          </w:p>
        </w:tc>
        <w:tc>
          <w:tcPr>
            <w:tcW w:type="dxa" w:w="2160"/>
          </w:tcPr>
          <w:p>
            <w:r>
              <w:t>Automated Financial Forecasting and Real-Time Spend Dashboards using AI-integrated tools</w:t>
            </w:r>
          </w:p>
        </w:tc>
      </w:tr>
      <w:tr>
        <w:tc>
          <w:tcPr>
            <w:tcW w:type="dxa" w:w="2160"/>
          </w:tcPr>
          <w:p>
            <w:r>
              <w:t>Experiential / Hospitality</w:t>
            </w:r>
          </w:p>
        </w:tc>
        <w:tc>
          <w:tcPr>
            <w:tcW w:type="dxa" w:w="2160"/>
          </w:tcPr>
          <w:p>
            <w:r>
              <w:t>Scattered guest information and logistical tracking through legacy systems</w:t>
            </w:r>
          </w:p>
        </w:tc>
        <w:tc>
          <w:tcPr>
            <w:tcW w:type="dxa" w:w="2160"/>
          </w:tcPr>
          <w:p>
            <w:r>
              <w:t>Difficulty in ensuring consistent high-end guest experiences across touchpoints</w:t>
            </w:r>
          </w:p>
        </w:tc>
        <w:tc>
          <w:tcPr>
            <w:tcW w:type="dxa" w:w="2160"/>
          </w:tcPr>
          <w:p>
            <w:r>
              <w:t>Personalized Guest Experience Engine with AI-driven itinerary and logistics coordination</w:t>
            </w:r>
          </w:p>
        </w:tc>
      </w:tr>
      <w:tr>
        <w:tc>
          <w:tcPr>
            <w:tcW w:type="dxa" w:w="2160"/>
          </w:tcPr>
          <w:p>
            <w:r>
              <w:t>Technical / Innovation</w:t>
            </w:r>
          </w:p>
        </w:tc>
        <w:tc>
          <w:tcPr>
            <w:tcW w:type="dxa" w:w="2160"/>
          </w:tcPr>
          <w:p>
            <w:r>
              <w:t>Limited decision support for new partner integration and tech validation</w:t>
            </w:r>
          </w:p>
        </w:tc>
        <w:tc>
          <w:tcPr>
            <w:tcW w:type="dxa" w:w="2160"/>
          </w:tcPr>
          <w:p>
            <w:r>
              <w:t>Missed opportunities in identifying high-potential tech integration with racing performance</w:t>
            </w:r>
          </w:p>
        </w:tc>
        <w:tc>
          <w:tcPr>
            <w:tcW w:type="dxa" w:w="2160"/>
          </w:tcPr>
          <w:p>
            <w:r>
              <w:t>AI-Based Tech Scouting &amp; Partner Evaluation using emerging trends and performance modelling</w:t>
            </w:r>
          </w:p>
        </w:tc>
      </w:tr>
      <w:tr>
        <w:tc>
          <w:tcPr>
            <w:tcW w:type="dxa" w:w="2160"/>
          </w:tcPr>
          <w:p>
            <w:r>
              <w:t>Business Ops / Governance</w:t>
            </w:r>
          </w:p>
        </w:tc>
        <w:tc>
          <w:tcPr>
            <w:tcW w:type="dxa" w:w="2160"/>
          </w:tcPr>
          <w:p>
            <w:r>
              <w:t>Redundant documents and manual report consolidation for board reporting</w:t>
            </w:r>
          </w:p>
        </w:tc>
        <w:tc>
          <w:tcPr>
            <w:tcW w:type="dxa" w:w="2160"/>
          </w:tcPr>
          <w:p>
            <w:r>
              <w:t>High costs due to inefficiency and storage burden for documentation</w:t>
            </w:r>
          </w:p>
        </w:tc>
        <w:tc>
          <w:tcPr>
            <w:tcW w:type="dxa" w:w="2160"/>
          </w:tcPr>
          <w:p>
            <w:r>
              <w:t>Governance Automation with Smart Reporting Assistants for board-ready summaries and reminders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