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Database and Statistical Analysis</w:t>
      </w:r>
    </w:p>
    <w:p>
      <w:r>
        <w:t>Bricks-ly FYP. All figures are computed by scripts in the project from data/literature.db (OpenAlex metadata, screening rules 2026-10-07.1). Themes, tiers and method/region shares are derived by keyword rules, not reported by OpenAlex. The relevance (precision) of the screening has not yet been measured: it needs the judged audit sample.</w:t>
      </w:r>
    </w:p>
    <w:p>
      <w:pPr>
        <w:pStyle w:val="Heading1"/>
      </w:pPr>
      <w:r>
        <w:t>Part A. Literature database: screening and size</w:t>
      </w:r>
    </w:p>
    <w:p>
      <w:pPr>
        <w:pStyle w:val="Heading2"/>
      </w:pPr>
      <w:r>
        <w:t>Literature database report</w:t>
      </w:r>
    </w:p>
    <w:p>
      <w:r>
        <w:t xml:space="preserve">Generated by </w:t>
      </w:r>
      <w:r>
        <w:rPr>
          <w:rFonts w:ascii="Consolas" w:hAnsi="Consolas"/>
        </w:rPr>
        <w:t>scripts/corpus_statistics.py</w:t>
      </w:r>
      <w:r>
        <w:t xml:space="preserve"> from </w:t>
      </w:r>
      <w:r>
        <w:rPr>
          <w:rFonts w:ascii="Consolas" w:hAnsi="Consolas"/>
        </w:rPr>
        <w:t>data/literature.db</w:t>
      </w:r>
      <w:r>
        <w:t xml:space="preserve"> (screening rules 2026-10-07.1). Counts are computed, not typed. Source: OpenAlex metadata; themes and tiers are derived by the regex rules in </w:t>
      </w:r>
      <w:r>
        <w:rPr>
          <w:rFonts w:ascii="Consolas" w:hAnsi="Consolas"/>
        </w:rPr>
        <w:t>scripts/build_literature_db.py</w:t>
      </w:r>
      <w:r>
        <w:t xml:space="preserve"> (derived, not reported by OpenAlex).</w:t>
      </w:r>
    </w:p>
    <w:p>
      <w:pPr>
        <w:pStyle w:val="Heading3"/>
      </w:pPr>
      <w:r>
        <w:t>1. Screening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Step / reason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Records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Harvested (all search buckets)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11599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NOT_CONSTRUCTION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2977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NO_THEME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2655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Included: INCLUDED_T1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2180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OUT_OF_SCOPE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1538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Included: INCLUDED_T2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1370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NO_ABSTRACT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DUPLICATE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OFF_TOPIC_ECON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Excluded: STRUCTURAL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Database (included)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3550</w:t>
            </w:r>
          </w:p>
        </w:tc>
      </w:tr>
    </w:tbl>
    <w:p/>
    <w:p>
      <w:r>
        <w:t xml:space="preserve">Reason codes: DUPLICATE (same DOI or title); NO_ABSTRACT (&lt; 200 characters); NOT_CONSTRUCTION (no construction concept or phrase); STRUCTURAL (masonry as a structural material); OFF_TOPIC_ECON (firm-level economics); OUT_OF_SCOPE (found only by a dropped topic - Monte Carlo, EMV, response, cost, decision support - with no in-scope phrase in the title); NO_THEME (no theme term in the title and no specific theme phrase in the abstract). </w:t>
      </w:r>
      <w:r>
        <w:rPr>
          <w:b/>
        </w:rPr>
        <w:t>Tier 1 (core)</w:t>
      </w:r>
      <w:r>
        <w:t xml:space="preserve"> = a theme term is in the title. </w:t>
      </w:r>
      <w:r>
        <w:rPr>
          <w:b/>
        </w:rPr>
        <w:t>Tier 2 (context)</w:t>
      </w:r>
      <w:r>
        <w:t xml:space="preserve"> = only a specific phrase in the abstract matched; expect a visible share of loosely related records here (e.g. safety or health papers that mention risk), which the audit sample measures separately.</w:t>
      </w:r>
    </w:p>
    <w:p>
      <w:r>
        <w:t>Tier 1: 2180 (61.4%); tier 2: 1370 (38.6%).</w:t>
      </w:r>
    </w:p>
    <w:p>
      <w:pPr>
        <w:pStyle w:val="Heading3"/>
      </w:pPr>
      <w:r>
        <w:t>2. Sufficiency of the sample size</w:t>
      </w:r>
    </w:p>
    <w:p>
      <w:r>
        <w:t xml:space="preserve">The database holds N = 3550 works (target: more than 3,000: </w:t>
      </w:r>
      <w:r>
        <w:rPr>
          <w:b/>
        </w:rPr>
        <w:t>met</w:t>
      </w:r>
      <w:r>
        <w:t>).</w:t>
      </w:r>
    </w:p>
    <w:p>
      <w:pPr>
        <w:pStyle w:val="ListBullet"/>
      </w:pPr>
      <w:r>
        <w:t xml:space="preserve">Worst-case 95% margin of error for a corpus share (e.g. the share of studies in a theme) is </w:t>
      </w:r>
      <w:r>
        <w:rPr>
          <w:b/>
        </w:rPr>
        <w:t>±1.6%</w:t>
      </w:r>
      <w:r>
        <w:t xml:space="preserve"> for the whole database and ±4.9% for a subgroup of 355 works (finite-population corrected).</w:t>
      </w:r>
    </w:p>
    <w:p>
      <w:pPr>
        <w:pStyle w:val="ListBullet"/>
      </w:pPr>
      <w:r>
        <w:t>Tier 1 alone has 2180 works (margin ±2.1%); the more-than-3,000 target is met only with both tiers.</w:t>
      </w:r>
    </w:p>
    <w:p>
      <w:pPr>
        <w:pStyle w:val="ListBullet"/>
      </w:pPr>
      <w:r>
        <w:t xml:space="preserve">A precision audit of the screening needs n = 347 judged records for ±5% (95%); n = 821 for ±3%. </w:t>
      </w:r>
      <w:r>
        <w:rPr>
          <w:rFonts w:ascii="Consolas" w:hAnsi="Consolas"/>
        </w:rPr>
        <w:t>--draw</w:t>
      </w:r>
      <w:r>
        <w:t xml:space="preserve"> writes that sample; no precision is claimed until it is judged.</w:t>
      </w:r>
    </w:p>
    <w:p>
      <w:pPr>
        <w:pStyle w:val="ListBullet"/>
      </w:pPr>
      <w:r>
        <w:t xml:space="preserve">This is sufficiency for </w:t>
      </w:r>
      <w:r>
        <w:rPr>
          <w:b/>
        </w:rPr>
        <w:t>describing the corpus</w:t>
      </w:r>
      <w:r>
        <w:t>. It is not a claim that the corpus covers all published work, and the RII ranking in the app rests on the studies in section 5, not on these metadata records.</w:t>
      </w:r>
    </w:p>
    <w:p>
      <w:pPr>
        <w:pStyle w:val="Heading3"/>
      </w:pPr>
      <w:r>
        <w:t>3. Content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 (a work can have several)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Works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 term in title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1420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712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Rule-based, expert-system and AI risk tools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productivity and masonry work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1386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786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 identification and assessment (RII, probability x impact, matrix)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1356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680</w:t>
            </w:r>
          </w:p>
        </w:tc>
      </w:tr>
    </w:tbl>
    <w:p/>
    <w:p>
      <w:r>
        <w:t>2613 works (73.6%) match exactly one theme.</w:t>
      </w:r>
    </w:p>
    <w:p>
      <w:pPr>
        <w:pStyle w:val="Heading3"/>
      </w:pPr>
      <w:r>
        <w:t>4. Time, venue, citations</w:t>
      </w:r>
    </w:p>
    <w:p>
      <w:r>
        <w:t>Years 1995 to 2026; works per year: 2015: 161, 2016: 148, 2017: 167, 2018: 233, 2019: 227, 2020: 300, 2021: 289, 2022: 304, 2023: 261, 2024: 277, 2025: 275, 2026: 139 (last 12 years).</w:t>
      </w:r>
    </w:p>
    <w:p>
      <w:r>
        <w:t>Open access: 2430 (68.5%). Citations (OpenAlex counts, skewed): median 9.0, quartiles 1 / 31, max 989. Medians are used because the distribution is heavy-tailed.</w:t>
      </w:r>
    </w:p>
    <w:p>
      <w:r>
        <w:t>Top venues: Journal of Construction Engineering and Management (159); Engineering Construction &amp; Architectural Management (113); International Journal of Construction Management (112); Buildings (105); Sustainability (81); Journal of Management in Engineering (66); Construction Management and Economics (44); Journal of Civil Engineering and Management (43); Zenodo (CERN European Organization for Nuclear Research) (41); Journal of Legal Affairs and Dispute Resolution in Engineering and Construction (33).</w:t>
      </w:r>
    </w:p>
    <w:p>
      <w:pPr>
        <w:pStyle w:val="Heading3"/>
      </w:pPr>
      <w:r>
        <w:t>5. Quantitative evidence behind the ranking (table `rii_row`)</w:t>
      </w:r>
    </w:p>
    <w:p>
      <w:r>
        <w:t xml:space="preserve">11 studies and 182 factor rows with relative importance indices are held in </w:t>
      </w:r>
      <w:r>
        <w:rPr>
          <w:rFonts w:ascii="Consolas" w:hAnsi="Consolas"/>
        </w:rPr>
        <w:t>rii_study</w:t>
      </w:r>
      <w:r>
        <w:t xml:space="preserve"> / </w:t>
      </w:r>
      <w:r>
        <w:rPr>
          <w:rFonts w:ascii="Consolas" w:hAnsi="Consolas"/>
        </w:rPr>
        <w:t>rii_row</w:t>
      </w:r>
      <w:r>
        <w:t xml:space="preserve">. Their agreement tests (Spearman) are in </w:t>
      </w:r>
      <w:r>
        <w:rPr>
          <w:rFonts w:ascii="Consolas" w:hAnsi="Consolas"/>
        </w:rPr>
        <w:t>RII_Masonry_Literature.xlsx</w:t>
      </w:r>
      <w:r>
        <w:t>, Validation sheet.</w:t>
      </w:r>
    </w:p>
    <w:p>
      <w:pPr>
        <w:pStyle w:val="Heading3"/>
      </w:pPr>
      <w:r>
        <w:t>6. Limits</w:t>
      </w:r>
    </w:p>
    <w:p>
      <w:pPr>
        <w:pStyle w:val="ListBullet"/>
      </w:pPr>
      <w:r>
        <w:t>Screening is keyword-based on title and abstract only; full texts were not read for the metadata records.</w:t>
      </w:r>
    </w:p>
    <w:p>
      <w:pPr>
        <w:pStyle w:val="ListBullet"/>
      </w:pPr>
      <w:r>
        <w:t>OpenAlex abstracts and counts can be incomplete or wrong; they are copied as reported.</w:t>
      </w:r>
    </w:p>
    <w:p>
      <w:pPr>
        <w:pStyle w:val="ListBullet"/>
      </w:pPr>
      <w:r>
        <w:t>The search phrases are the author's; a different phrase set would give a different corpus.</w:t>
      </w:r>
    </w:p>
    <w:p>
      <w:pPr>
        <w:pStyle w:val="ListBullet"/>
      </w:pPr>
      <w:r>
        <w:t>Precision of the screening is unknown until the audit sample is judged.</w:t>
      </w:r>
    </w:p>
    <w:p>
      <w:pPr>
        <w:pStyle w:val="Heading1"/>
      </w:pPr>
      <w:r>
        <w:t>Part B. Statistical analysis of the database</w:t>
      </w:r>
    </w:p>
    <w:p>
      <w:pPr>
        <w:pStyle w:val="Heading2"/>
      </w:pPr>
      <w:r>
        <w:t>Statistical analysis of the literature database</w:t>
      </w:r>
    </w:p>
    <w:p>
      <w:r>
        <w:t>N = 3550 screened works (</w:t>
      </w:r>
      <w:r>
        <w:rPr>
          <w:rFonts w:ascii="Consolas" w:hAnsi="Consolas"/>
        </w:rPr>
        <w:t>data/literature.db</w:t>
      </w:r>
      <w:r>
        <w:t xml:space="preserve">). Generated by </w:t>
      </w:r>
      <w:r>
        <w:rPr>
          <w:rFonts w:ascii="Consolas" w:hAnsi="Consolas"/>
        </w:rPr>
        <w:t>scripts/stats_corpus.py</w:t>
      </w:r>
      <w:r>
        <w:t xml:space="preserve"> with a fixed seed. All results describe THIS corpus. Regex matching on title + abstract measures how many abstracts mention a term, not how many studies used a method. Where one family of tests is run, p-values are Holm-adjusted. The RII-based ranking statistics are in </w:t>
      </w:r>
      <w:r>
        <w:rPr>
          <w:rFonts w:ascii="Consolas" w:hAnsi="Consolas"/>
        </w:rPr>
        <w:t>Statistical_Analysis.docx</w:t>
      </w:r>
      <w:r>
        <w:t xml:space="preserve"> and </w:t>
      </w:r>
      <w:r>
        <w:rPr>
          <w:rFonts w:ascii="Consolas" w:hAnsi="Consolas"/>
        </w:rPr>
        <w:t>docs/rii_statistics.json</w:t>
      </w:r>
      <w:r>
        <w:t>.</w:t>
      </w:r>
    </w:p>
    <w:p>
      <w:pPr>
        <w:pStyle w:val="Heading3"/>
      </w:pPr>
      <w:r>
        <w:t>1. Publication trend 2010-2025</w:t>
      </w:r>
    </w:p>
    <w:p>
      <w:r>
        <w:t>Works per year: 2010: 70, 2011: 81, 2012: 97, 2013: 113, 2014: 123, 2015: 161, 2016: 148, 2017: 167, 2018: 233, 2019: 227, 2020: 300, 2021: 289, 2022: 304, 2023: 261, 2024: 277, 2025: 275.</w:t>
      </w:r>
    </w:p>
    <w:p>
      <w:r>
        <w:t>Spearman rho = 0.91 (p &lt;0.001). Poisson log-linear slope: 9.2% per year (95% CI 8.3 to 10.1); dispersion 6.5, so the quasi-Poisson interval 7.0 to 11.4% is the one to quote.</w:t>
      </w:r>
    </w:p>
    <w:p>
      <w:r>
        <w:t>Caution: the count reflects what the search phrases and the OpenAlex index returned, so it is a trend in this corpus, not in construction research as a whole. 2026 is a partial year and is excluded.</w:t>
      </w:r>
    </w:p>
    <w:p>
      <w:pPr>
        <w:pStyle w:val="Heading3"/>
      </w:pPr>
      <w:r>
        <w:t>2. Theme by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 1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 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871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549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Rule-based, expert-system and AI risk tools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348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productivity and masonry work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856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530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 identification and assessment (RII, probability x impact, matrix)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931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425</w:t>
            </w:r>
          </w:p>
        </w:tc>
      </w:tr>
    </w:tbl>
    <w:p/>
    <w:p>
      <w:r>
        <w:t>Chi-square = 71.7, df = 3, p &lt;0.001, Cramer's V = 0.12. a work with several themes appears in several rows, so rows are not independent; treat p as descriptive.</w:t>
      </w:r>
    </w:p>
    <w:p>
      <w:pPr>
        <w:pStyle w:val="Heading3"/>
      </w:pPr>
      <w:r>
        <w:t>3. Theme co-occurrence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Pair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Works with both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phi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Odds ratio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 (Holm)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 + Rule-based, expert-system and AI risk tools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0.083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 + Labour productivity and masonry work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 + Risk identification and assessment (RII, probability x impact, matrix)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353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-0.22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0.37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Rule-based, expert-system and AI risk tools + Labour productivity and masonry work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Rule-based, expert-system and AI risk tools + Risk identification and assessment (RII, probability x impact, matrix)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2.46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productivity and masonry work + Risk identification and assessment (RII, probability x impact, matrix)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-0.44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</w:tbl>
    <w:p/>
    <w:p>
      <w:r>
        <w:t>Reading note: negative phi values are partly built in. A work gets a theme from a title term or from a specific abstract phrase, so a title about delays rarely also gets a productivity tag. The result shows the themes are mostly separate sub-literatures in this corpus; it is not evidence that the topics are unrelated in practice. The only positive pair is risk assessment with the AI/expert-system tools, which fits the method theme being recorded only alongside a topic theme.</w:t>
      </w:r>
    </w:p>
    <w:p>
      <w:pPr>
        <w:pStyle w:val="Heading3"/>
      </w:pPr>
      <w:r>
        <w:t>4. Citations by theme (works with exactly one theme)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Q1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Delay causes and factors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879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productivity and masonry work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1038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 identification and assessment (RII, probability x impact, matrix)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696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</w:t>
            </w:r>
          </w:p>
        </w:tc>
      </w:tr>
    </w:tbl>
    <w:p/>
    <w:p>
      <w:r>
        <w:t>Kruskal-Wallis H = 148.1, p &lt;0.001, epsilon-squared = 0.056. Citation counts are heavy-tailed, so medians and a rank test are used.</w:t>
      </w:r>
    </w:p>
    <w:p>
      <w:pPr>
        <w:pStyle w:val="Heading3"/>
      </w:pPr>
      <w:r>
        <w:t>5. Open access and citations, within age bands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Years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 OA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 closed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Median OA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Median closed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Rank-biserial r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 (Holm)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1995-2009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0.173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2010-2015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357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0.052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2016-2020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2021-2026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</w:tbl>
    <w:p/>
    <w:p>
      <w:r>
        <w:t>Association only; field, venue and quality are not controlled.</w:t>
      </w:r>
    </w:p>
    <w:p>
      <w:pPr>
        <w:pStyle w:val="Heading3"/>
      </w:pPr>
      <w:r>
        <w:t>6a. Methods mentioned in abstracts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Term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Abstracts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 (95% CI)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1995-2009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2010-2017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2018-2022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2023-2026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Trend rho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 (Holm)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Relative importance index (RII)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363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10.2% (9.3%-11.3%)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Questionnaire / survey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1592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44.8% (43.2%-46.5%)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44.5%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46.8%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0.348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Interview / Delphi / expert panel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539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15.2% (14.0%-16.4%)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10.5%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0.232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Fuzzy logic / fuzzy AHP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6.1% (5.3%-6.9%)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0.232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AHP / MCDM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3.8% (3.2%-4.5%)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0.228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Machine learning / neural network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5.1% (4.4%-5.8%)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+0.11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Large language model / generative AI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0.3% (0.2%-0.5%)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Structural equation modelling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2.7% (2.2%-3.3%)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Case study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14.0% (12.9%-15.2%)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0.228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Systematic / literature review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13.9% (12.8%-15.0%)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&lt;0.001</w:t>
            </w:r>
          </w:p>
        </w:tc>
      </w:tr>
    </w:tbl>
    <w:p/>
    <w:p>
      <w:pPr>
        <w:pStyle w:val="Heading3"/>
      </w:pPr>
      <w:r>
        <w:t>6b. Regions mentioned in abstracts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Term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Abstracts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 (95% CI)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1995-2009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2010-2017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2018-2022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2023-2026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Trend rho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 (Holm)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India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8.0% (7.1%-8.9%)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0.253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Sri Lanka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1.2% (0.9%-1.7%)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0.242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Pakistan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3.0% (2.4%-3.6%)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0.032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Middle East / Gulf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6.2% (5.5%-7.0%)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7.3%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0.769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/ Ghana / Africa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11.9% (10.8%-13.0%)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12.2%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+0.04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0.161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China / Hong Kong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4.4% (3.7%-5.1%)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4.9%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0.800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Malaysia / Indonesia / Vietnam / Thailand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6.8% (6.0%-7.7%)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6.7%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8.1%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5.5%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-0.01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0.800</w:t>
            </w:r>
          </w:p>
        </w:tc>
      </w:tr>
    </w:tbl>
    <w:p/>
    <w:p>
      <w:r>
        <w:t>With N = 3,550 even small trends are 'significant'. Judge by the shares, not the p-values: for example the machine-learning share rises from about 2% (1995-2009) to about 8% (2023-2026), while questionnaire use stays near 45%. Rho values near 0.1 are weak.</w:t>
      </w:r>
    </w:p>
    <w:p>
      <w:pPr>
        <w:pStyle w:val="Heading3"/>
      </w:pPr>
      <w:r>
        <w:t>7. Is the corpus large enough?</w:t>
      </w:r>
    </w:p>
    <w:p>
      <w:r>
        <w:t>Bootstrap (2,000 resamples) of the share of works in the delay-causes theme (full-corpus value 40.0%):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Works sampled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95% interval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Width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31.0% - 50.0%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19.0%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34.0% - 46.0%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12.0%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35.6% - 44.2%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8.6%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37.0% - 42.9%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5.9%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37.8% - 42.1%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4.3%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38.3% - 41.8%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3.5%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3550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38.4% - 41.6%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3.2%</w:t>
            </w:r>
          </w:p>
        </w:tc>
      </w:tr>
    </w:tbl>
    <w:p/>
    <w:p>
      <w:r>
        <w:t xml:space="preserve">The interval width falls roughly as 1/sqrt(n); beyond about 2,000 works each doubling buys little extra precision for a share like this. That supports sufficiency for corpus-level shares, not for coverage of the literature or for the relevance of every record (see the audit sample in </w:t>
      </w:r>
      <w:r>
        <w:rPr>
          <w:rFonts w:ascii="Consolas" w:hAnsi="Consolas"/>
        </w:rPr>
        <w:t>Literature_Database_Report.md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