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Statistical Analysis of the Tool</w:t>
      </w:r>
    </w:p>
    <w:p>
      <w:r>
        <w:t>Bricks-ly FYP. Computed by scripts/stats_tool.py from data/literature_seed.json (verified rows noted in section 1) and docs/rii_statistics.json. All figures describe the tool literature ranking, not site data.</w:t>
      </w:r>
    </w:p>
    <w:p>
      <w:pPr>
        <w:pStyle w:val="Heading2"/>
      </w:pPr>
      <w:r>
        <w:t>Statistical analysis of the tool's literature ranking</w:t>
      </w:r>
    </w:p>
    <w:p>
      <w:r>
        <w:t xml:space="preserve">Generated by </w:t>
      </w:r>
      <w:r>
        <w:rPr>
          <w:rFonts w:ascii="Consolas" w:hAnsi="Consolas"/>
        </w:rPr>
        <w:t>scripts/stats_tool.py</w:t>
      </w:r>
      <w:r>
        <w:t xml:space="preserve"> (fixed seed, 5,000 bootstrap draws). It measures how reliable the survey-based rank and class are that the tool uses to place library risks on the 5x5 matrix when no probability or delay is entered. The unit of analysis is the </w:t>
      </w:r>
      <w:r>
        <w:rPr>
          <w:b/>
        </w:rPr>
        <w:t>study</w:t>
      </w:r>
      <w:r>
        <w:t>, not the respondent: the tool averages each study's items first, then averages across studies.</w:t>
      </w:r>
    </w:p>
    <w:p>
      <w:pPr>
        <w:pStyle w:val="Heading3"/>
      </w:pPr>
      <w:r>
        <w:t>1. Data behind the ranking</w:t>
      </w:r>
    </w:p>
    <w:p>
      <w:r>
        <w:t>The dataset holds 11 RII studies and 182 factor rows. Studies, their role, respondents and scale: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Study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Country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Scale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Rows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M01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India (Telangana)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seed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1-5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A02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India (Chennai)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seed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reported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1-4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14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M06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India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seed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1-5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A14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Sri Lanka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seed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163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1-5 (very low to very high significance)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A15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Sri Lanka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seed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90 firms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recorded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M10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Middle East (10 studies: Malaysia, Palestine, Kuwait, Qatar, Saudi Arabia, Egypt, Bahrain, Oman, Yemen, Vietnam)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validation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 studies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Pooled RII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M15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Brazil (Brasilia)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validation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1-4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M14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Indonesia (East Java)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validation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1-4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23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A10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India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validation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1-5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A21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Thailand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validation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30 projects; 380 respondents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1-5 importance scale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HAS25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Iraq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validation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recorded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recorded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</w:tr>
    </w:tbl>
    <w:p/>
    <w:p>
      <w:r>
        <w:rPr>
          <w:b/>
        </w:rPr>
        <w:t>Transcription check:</w:t>
      </w:r>
      <w:r>
        <w:t xml:space="preserve"> 161 rows from 8 studies (M01 28, M06 40, M10 33, M14 23, M15 24, A10 6, A14 5, A21 2) were compared with the papers' own tables on 2026-10-07 and all matched (agent-reported, see </w:t>
      </w:r>
      <w:r>
        <w:rPr>
          <w:rFonts w:ascii="Consolas" w:hAnsi="Consolas"/>
        </w:rPr>
        <w:t>Research_Notes/fulltext_review/README.md</w:t>
      </w:r>
      <w:r>
        <w:t>). The rows of the other studies rest on earlier research notes: A02, A15 and HAS25 could not be downloaded (publisher servers refused), so their depth is lower.</w:t>
      </w:r>
    </w:p>
    <w:p>
      <w:pPr>
        <w:pStyle w:val="Heading3"/>
      </w:pPr>
      <w:r>
        <w:t>2. How the tool turns the data into a placement</w:t>
      </w:r>
    </w:p>
    <w:p>
      <w:r>
        <w:t xml:space="preserve">Per risk: mean of each study's items, then mean across studies, rank by that mean, five equal-count bands (class 5 = most important). The class is used for both matrix axes, so it is an </w:t>
      </w:r>
      <w:r>
        <w:rPr>
          <w:b/>
        </w:rPr>
        <w:t>ordinal prioritisation</w:t>
      </w:r>
      <w:r>
        <w:t xml:space="preserve">, not a probability or a delay. Two bases: </w:t>
      </w:r>
      <w:r>
        <w:rPr>
          <w:b/>
        </w:rPr>
        <w:t>seed</w:t>
      </w:r>
      <w:r>
        <w:t xml:space="preserve"> (5 studies, direct matches) and </w:t>
      </w:r>
      <w:r>
        <w:rPr>
          <w:b/>
        </w:rPr>
        <w:t>all</w:t>
      </w:r>
      <w:r>
        <w:t xml:space="preserve"> (11 studies, direct and related matches).</w:t>
      </w:r>
    </w:p>
    <w:p>
      <w:pPr>
        <w:pStyle w:val="Heading3"/>
      </w:pPr>
      <w:r>
        <w:t>3. Stability of the ranking (bootstrap over studies)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Seed basis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All-studies basis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Risks placed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38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Studies used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Median studies per risk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3.0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Risks resting on a single study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Mean share of draws keeping the same class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70%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58%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Risks that keep their class in at least half the draws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83%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55%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Median width of the 95% rank interval (share of the list)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26%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43%</w:t>
            </w:r>
          </w:p>
        </w:tc>
      </w:tr>
    </w:tbl>
    <w:p/>
    <w:p>
      <w:r>
        <w:t>Reading: an interval width of 50% of the list means a risk's rank is only known to within half the list. Few studies cover each risk, so classes are unstable for many risks; the placement is a starting order, which is how the tool labels it.</w:t>
      </w:r>
    </w:p>
    <w:p>
      <w:r>
        <w:t>The all-studies basis places more risks but is LESS stable than the seed basis here: the held-out studies bring different rankings (section 6), which widens the intervals. Using all the data therefore buys coverage (every library risk placed), not precision; the default stays on the seed basis.</w:t>
      </w:r>
    </w:p>
    <w:p>
      <w:pPr>
        <w:pStyle w:val="Heading3"/>
      </w:pPr>
      <w:r>
        <w:t>4. Per-risk results</w:t>
      </w:r>
    </w:p>
    <w:p>
      <w:r>
        <w:t>Rank is shown as rank/number ranked. The interval is the bootstrap 95% range of the rank as a share of the list (0% = top). 'Class kept' is the share of draws, among those in which a resampled study covers the risk, in which it stays in its class.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Risk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Name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Seed: rank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Class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Studies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95% interval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Class kept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All: rank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Class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Studies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95% interval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Class kept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R-ACC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Accidents and injuries on site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21/30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33%-88%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51%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32/38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34%-94%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56%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R-CLI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Client decision delay or pressure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seeded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36/38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51%-100%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70%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R-COM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Poor communication or misunderstanding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25/30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69%-93%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68%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27/38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47%-84%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73%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R-CST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Cost control and budget updating probl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19/30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58%-81%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72%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34%-66%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37%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R-CTR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Contractual disputes and claims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15/30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47%-70%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90%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26/38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31%-91%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42%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R-DEF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Defective or poor-quality material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seeded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37/38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91%-100%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100%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R-DES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Design changes or incomplete documenta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10/30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12%-79%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36%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3%-56%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45%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R-DIS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Poor labour discipline or weak site le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6/30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8%-52%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42%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3%-34%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84%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R-ECO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Economic conditions, inflation or inte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27/30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79%-96%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81%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14/38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3%-88%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23%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R-FAT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Worker fatigue, age or personal proble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29/30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92%-100%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22/38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42%-85%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57%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R-FIN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Contractor financial difficulties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seeded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3%-19%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99%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R-GOV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Government policies or approvals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seeded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36%-77%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63%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R-INC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Inadequate wages or incentives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13/30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27%-53%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36%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16%-38%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38%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R-LAB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Labour absenteeism or shortage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7/30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4%-73%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33%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3%-53%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60%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R-MAT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Brick / block / mortar material shorta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1/30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3%-21%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19/38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11%-73%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47%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R-MGT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Poor site management and coordination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18/30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44%-95%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52%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24/38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27%-85%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46%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R-MOT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Low motivation, morale or labour turno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17/30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50%-74%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63%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31/38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43%-94%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43%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R-MTH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Construction method or design complexi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22/30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70%-100%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66%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34/38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77%-97%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81%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R-OVT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Overtime and long working hours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20/30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62%-85%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78%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18/38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31%-73%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62%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R-PAY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Payment delay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5/30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13%-40%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51%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5%-32%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84%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R-PLAN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Poor planning or unrealistic schedulin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4/30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4%-55%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70%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16/38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3%-82%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29%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R-PRC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Material price escalation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26/30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4%-100%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53%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25/38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3%-97%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18%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R-PRD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Low labour productivity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seeded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21%-50%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81%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R-QLT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Inspection and quality-approval delays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seeded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13/38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11%-73%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32%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R-RWK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Rework due to workmanship or defects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11/30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17%-74%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43%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6%-41%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70%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R-SAFE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Unsafe conditions or work at height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2/30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3%-26%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96%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33/38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11%-100%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58%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R-SCP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Unclear scope or inadequate project fo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8/30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20%-50%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78%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28%-59%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62%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R-SITE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Poor site access, clearance or conditi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9/30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20%-50%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77%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28/38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14%-94%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40%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R-SKILL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Unskilled or unqualified labour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3/30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4%-44%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86%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6%-67%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45%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R-SOC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Social or community environment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30/30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96%-100%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35/38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79%-100%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91%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R-STO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Poor material storage or handling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23/30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57%-83%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83%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21/38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37%-86%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49%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R-STR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Labour strikes or disputes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14/30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43%-65%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90%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14%-42%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48%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R-SUB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Subcontracting and contract-type probl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seeded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17/38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14%-82%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28%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R-SUP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Inadequate supervision or monitoring o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16/30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42%-67%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75%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3%-46%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67%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R-TOOL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Tools and equipment delay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12/30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29%-63%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67%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23/38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29%-86%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38%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R-TRN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Inadequate training of workers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seeded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38/38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97%-100%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100%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R-WAT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Water shortage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28/30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86%-96%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95%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30/38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55%-96%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57%</w:t>
            </w:r>
          </w:p>
        </w:tc>
      </w:tr>
      <w:tr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R-WX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Rain / monsoon stoppage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24/30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46%-100%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62%</w:t>
            </w:r>
          </w:p>
        </w:tc>
        <w:tc>
          <w:tcPr>
            <w:tcW w:type="dxa" w:w="72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29/38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56%-89%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70%</w:t>
            </w:r>
          </w:p>
        </w:tc>
      </w:tr>
    </w:tbl>
    <w:p/>
    <w:p>
      <w:pPr>
        <w:pStyle w:val="Heading3"/>
      </w:pPr>
      <w:r>
        <w:t>5. Do the two bases agree?</w:t>
      </w:r>
    </w:p>
    <w:p>
      <w:r>
        <w:t>On the 30 risks ranked in both: Spearman rho = 0.47 (p 0.009), Kendall tau = 0.31 (p 0.014); same class for 20% of risks, within one class for 70%. The all-studies basis adds the held-out studies and weaker 'related' matches, so agreement below 1 is expected; it shows how much the choice of basis moves the placement.</w:t>
      </w:r>
    </w:p>
    <w:p>
      <w:pPr>
        <w:pStyle w:val="Heading3"/>
      </w:pPr>
      <w:r>
        <w:t>6. Validation against held-out studies (default basis)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Held-out study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Risks compared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Spearman rho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 (permutation)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95% CI for rho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M10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0.28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0.240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-0.18 to 0.68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M15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0.63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0.045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0.08 to 0.91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M14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-0.18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0.553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-0.65 to 0.35</w:t>
            </w:r>
          </w:p>
        </w:tc>
      </w:tr>
    </w:tbl>
    <w:p/>
    <w:p>
      <w:r>
        <w:t>Agreement among studies on shared risks: mean pairwise Spearman 0.33 (median 0.31, range -0.43 to 0.89, 16 pairs); Kendall's W = 0.40 over 4 studies and 6 risks (p 0.156). Dropping any one seed study keeps rho with the full seed ranking at 0.78 or higher. Weighting by respondent numbers gives rho 0.82 with the unweighted ranking.</w:t>
      </w:r>
    </w:p>
    <w:p>
      <w:pPr>
        <w:pStyle w:val="Heading3"/>
      </w:pPr>
      <w:r>
        <w:t>7. What this means for using the tool</w:t>
      </w:r>
    </w:p>
    <w:p>
      <w:pPr>
        <w:pStyle w:val="ListBullet"/>
      </w:pPr>
      <w:r>
        <w:t xml:space="preserve">The placement is a </w:t>
      </w:r>
      <w:r>
        <w:rPr>
          <w:b/>
        </w:rPr>
        <w:t>relative starting order</w:t>
      </w:r>
      <w:r>
        <w:t>. Where studies agree, it is a defensible prioritisation; where a risk rests on one study or the interval spans much of the list, treat its class as provisional.</w:t>
      </w:r>
    </w:p>
    <w:p>
      <w:pPr>
        <w:pStyle w:val="ListBullet"/>
      </w:pPr>
      <w:r>
        <w:t>Held-out agreement is mixed: see the table in section 6. A result that is not significant, or negative, is reported as it is; it is why the tool states that a survey importance index is not a probability or a number of days.</w:t>
      </w:r>
    </w:p>
    <w:p>
      <w:pPr>
        <w:pStyle w:val="ListBullet"/>
      </w:pPr>
      <w:r>
        <w:t>Entering a probability and a delay range for a risk replaces its placement; the statistics above then no longer apply to that risk.</w:t>
      </w:r>
    </w:p>
    <w:p>
      <w:pPr>
        <w:pStyle w:val="ListBullet"/>
      </w:pPr>
      <w:r>
        <w:t>Pooling all studies uses all the data but removes the held-out check, so its agreement with other studies can no longer be tested.</w:t>
      </w:r>
    </w:p>
    <w:p>
      <w:pPr>
        <w:pStyle w:val="ListBullet"/>
      </w:pPr>
      <w:r>
        <w:t>RII scales differ between studies (1-4 vs 1-5) and several studies print only their top factors, so values are comparable as rankings, not as magnitudes.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