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4"/>
          <w:szCs w:val="44"/>
        </w:rPr>
        <w:t xml:space="preserve">Review Preparation Pack</w:t>
      </w:r>
    </w:p>
    <w:p>
      <w:pPr>
        <w:spacing w:after="160"/>
      </w:pPr>
      <w:r>
        <w:rPr>
          <w:rFonts w:ascii="Calibri" w:cs="Calibri" w:eastAsia="Calibri" w:hAnsi="Calibri"/>
          <w:color w:val="6B6B62"/>
          <w:sz w:val="22"/>
          <w:szCs w:val="22"/>
        </w:rPr>
        <w:t xml:space="preserve">Bricks-ly: literature-grounded delay-risk identification, register and matrix for brick masonry (India). Review on Wednesday.</w:t>
      </w:r>
    </w:p>
    <w:p>
      <w:pPr>
        <w:pStyle w:val="Heading1"/>
        <w:spacing w:after="120" w:before="320"/>
      </w:pPr>
      <w:r>
        <w:rPr>
          <w:rFonts w:ascii="Calibri" w:cs="Calibri" w:eastAsia="Calibri" w:hAnsi="Calibri"/>
          <w:b/>
          <w:bCs/>
          <w:sz w:val="30"/>
          <w:szCs w:val="30"/>
        </w:rPr>
        <w:t xml:space="preserve">1. Review at a glance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9A90" w:sz="4"/>
              <w:left w:val="single" w:color="9A9A90" w:sz="4"/>
              <w:bottom w:val="single" w:color="9A9A90" w:sz="4"/>
              <w:right w:val="single" w:color="9A9A90" w:sz="4"/>
            </w:tcBorders>
            <w:shd w:fill="EDF3E3" w:color="auto" w:val="clear"/>
            <w:tcMar>
              <w:top w:type="dxa" w:w="100"/>
              <w:left w:type="dxa" w:w="140"/>
              <w:bottom w:type="dxa" w:w="100"/>
              <w:right w:type="dxa" w:w="140"/>
            </w:tcMar>
          </w:tcPr>
          <w:p>
            <w:pPr>
              <w:spacing w:after="60"/>
            </w:pPr>
            <w:r>
              <w:rPr>
                <w:rFonts w:ascii="Calibri" w:cs="Calibri" w:eastAsia="Calibri" w:hAnsi="Calibri"/>
                <w:b/>
                <w:bCs/>
                <w:sz w:val="21"/>
                <w:szCs w:val="21"/>
              </w:rPr>
              <w:t xml:space="preserve">The message in one breath</w:t>
            </w:r>
          </w:p>
          <w:p>
            <w:pPr>
              <w:spacing w:after="40"/>
            </w:pPr>
            <w:r>
              <w:rPr>
                <w:rFonts w:ascii="Calibri" w:cs="Calibri" w:eastAsia="Calibri" w:hAnsi="Calibri"/>
                <w:sz w:val="20"/>
                <w:szCs w:val="20"/>
              </w:rPr>
              <w:t xml:space="preserve">We built a working tool that identifies delay risks for brick masonry and prepares a risk register and matrix with every number source-labelled. Because site data is not available yet, we analysed 182 published RII values from 11 studies, tested the tool's ranking against three held-out studies, and have a concrete plan for an expert survey and site validation.</w:t>
            </w:r>
          </w:p>
        </w:tc>
      </w:tr>
    </w:tbl>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c>
          <w:tcPr>
            <w:tcW w:type="dxa" w:w="26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Three things to land</w:t>
            </w:r>
          </w:p>
        </w:tc>
        <w:tc>
          <w:tcPr>
            <w:tcW w:type="dxa" w:w="78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1) It works end to end (live demo). 2) The analysis is honest: published data, out-of-sample check, limits stated. 3) There is a clear next phase (survey, sensitivity, site data).</w:t>
            </w:r>
          </w:p>
        </w:tc>
      </w:tr>
      <w:tr>
        <w:tc>
          <w:tcPr>
            <w:tcW w:type="dxa" w:w="26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Time plan</w:t>
            </w:r>
          </w:p>
        </w:tc>
        <w:tc>
          <w:tcPr>
            <w:tcW w:type="dxa" w:w="78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About 15 minutes: slides 1-8 about 10 min, demo 3-4 min, slides 10-12 about 2.5 min (see section 2 for each slide). Adjust to the time you are given.</w:t>
            </w:r>
          </w:p>
        </w:tc>
      </w:tr>
      <w:tr>
        <w:tc>
          <w:tcPr>
            <w:tcW w:type="dxa" w:w="26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Bring</w:t>
            </w:r>
          </w:p>
        </w:tc>
        <w:tc>
          <w:tcPr>
            <w:tcW w:type="dxa" w:w="78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Laptop with the app running (restart it first), RII_Masonry_Literature.xlsx open, a printed report.html of the example case, the Site Data Collection Form, a backup PDF of the slides.</w:t>
            </w:r>
          </w:p>
        </w:tc>
      </w:tr>
      <w:tr>
        <w:tc>
          <w:tcPr>
            <w:tcW w:type="dxa" w:w="26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Do not say</w:t>
            </w:r>
          </w:p>
        </w:tc>
        <w:tc>
          <w:tcPr>
            <w:tcW w:type="dxa" w:w="78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"First tool of its kind", "validated", "predicts delay", "AI calculates probabilities", or present the example numbers as real.</w:t>
            </w:r>
          </w:p>
        </w:tc>
      </w:tr>
    </w:tbl>
    <w:p>
      <w:pPr>
        <w:pStyle w:val="Heading1"/>
        <w:spacing w:after="120" w:before="320"/>
      </w:pPr>
      <w:r>
        <w:rPr>
          <w:rFonts w:ascii="Calibri" w:cs="Calibri" w:eastAsia="Calibri" w:hAnsi="Calibri"/>
          <w:b/>
          <w:bCs/>
          <w:sz w:val="30"/>
          <w:szCs w:val="30"/>
        </w:rPr>
        <w:t xml:space="preserve">2. Slide-by-slide outline (what to show, what to say)</w:t>
      </w:r>
    </w:p>
    <w:p>
      <w:pPr>
        <w:pStyle w:val="Heading2"/>
        <w:spacing w:after="80" w:before="220"/>
      </w:pPr>
      <w:r>
        <w:rPr>
          <w:rFonts w:ascii="Calibri" w:cs="Calibri" w:eastAsia="Calibri" w:hAnsi="Calibri"/>
          <w:b/>
          <w:bCs/>
          <w:sz w:val="24"/>
          <w:szCs w:val="24"/>
        </w:rPr>
        <w:t xml:space="preserve">1. Title and the one-line pitch   (30 s)</w:t>
      </w:r>
    </w:p>
    <w:p>
      <w:pPr>
        <w:pStyle w:val="ListParagraph"/>
        <w:numPr>
          <w:ilvl w:val="0"/>
          <w:numId w:val="2"/>
        </w:numPr>
        <w:spacing w:after="50"/>
      </w:pPr>
      <w:r>
        <w:rPr>
          <w:rFonts w:ascii="Calibri" w:cs="Calibri" w:eastAsia="Calibri" w:hAnsi="Calibri"/>
          <w:sz w:val="21"/>
          <w:szCs w:val="21"/>
        </w:rPr>
        <w:t xml:space="preserve">Show: project title, team, supervisor, Bricks-ly name.</w:t>
      </w:r>
    </w:p>
    <w:p>
      <w:pPr>
        <w:pStyle w:val="ListParagraph"/>
        <w:numPr>
          <w:ilvl w:val="0"/>
          <w:numId w:val="2"/>
        </w:numPr>
        <w:spacing w:after="50"/>
      </w:pPr>
      <w:r>
        <w:rPr>
          <w:rFonts w:ascii="Calibri" w:cs="Calibri" w:eastAsia="Calibri" w:hAnsi="Calibri"/>
          <w:sz w:val="21"/>
          <w:szCs w:val="21"/>
        </w:rPr>
        <w:t xml:space="preserve">Say: "Bricks-ly is a decision-support tool that identifies delay risks for one activity, brick/blockwork masonry on Indian sites, and prepares a risk register and a probability-impact matrix, with every number labelled by its source."</w:t>
      </w:r>
    </w:p>
    <w:p>
      <w:pPr>
        <w:pStyle w:val="Heading2"/>
        <w:spacing w:after="80" w:before="220"/>
      </w:pPr>
      <w:r>
        <w:rPr>
          <w:rFonts w:ascii="Calibri" w:cs="Calibri" w:eastAsia="Calibri" w:hAnsi="Calibri"/>
          <w:b/>
          <w:bCs/>
          <w:sz w:val="24"/>
          <w:szCs w:val="24"/>
        </w:rPr>
        <w:t xml:space="preserve">2. Problem and motivation   (1 min)</w:t>
      </w:r>
    </w:p>
    <w:p>
      <w:pPr>
        <w:pStyle w:val="ListParagraph"/>
        <w:numPr>
          <w:ilvl w:val="0"/>
          <w:numId w:val="2"/>
        </w:numPr>
        <w:spacing w:after="50"/>
      </w:pPr>
      <w:r>
        <w:rPr>
          <w:rFonts w:ascii="Calibri" w:cs="Calibri" w:eastAsia="Calibri" w:hAnsi="Calibri"/>
          <w:sz w:val="21"/>
          <w:szCs w:val="21"/>
        </w:rPr>
        <w:t xml:space="preserve">Delay in building projects is common and surveys repeatedly name labour, material, planning and weather causes.</w:t>
      </w:r>
    </w:p>
    <w:p>
      <w:pPr>
        <w:pStyle w:val="ListParagraph"/>
        <w:numPr>
          <w:ilvl w:val="0"/>
          <w:numId w:val="2"/>
        </w:numPr>
        <w:spacing w:after="50"/>
      </w:pPr>
      <w:r>
        <w:rPr>
          <w:rFonts w:ascii="Calibri" w:cs="Calibri" w:eastAsia="Calibri" w:hAnsi="Calibri"/>
          <w:sz w:val="21"/>
          <w:szCs w:val="21"/>
        </w:rPr>
        <w:t xml:space="preserve">Surveys rank causes for whole projects; a site engineer needs them at activity level (one activity, one crew), with evidence and with clear labels on what is measured and what is assumed.</w:t>
      </w:r>
    </w:p>
    <w:p>
      <w:pPr>
        <w:pStyle w:val="ListParagraph"/>
        <w:numPr>
          <w:ilvl w:val="0"/>
          <w:numId w:val="2"/>
        </w:numPr>
        <w:spacing w:after="50"/>
      </w:pPr>
      <w:r>
        <w:rPr>
          <w:rFonts w:ascii="Calibri" w:cs="Calibri" w:eastAsia="Calibri" w:hAnsi="Calibri"/>
          <w:sz w:val="21"/>
          <w:szCs w:val="21"/>
        </w:rPr>
        <w:t xml:space="preserve">Say what you looked at: the literature corpus (5,214 construction records) and 45 curated papers, from which the risk library and the rules were built.</w:t>
      </w:r>
    </w:p>
    <w:p>
      <w:pPr>
        <w:pStyle w:val="ListParagraph"/>
        <w:numPr>
          <w:ilvl w:val="0"/>
          <w:numId w:val="2"/>
        </w:numPr>
        <w:spacing w:after="50"/>
      </w:pPr>
      <w:r>
        <w:rPr>
          <w:rFonts w:ascii="Calibri" w:cs="Calibri" w:eastAsia="Calibri" w:hAnsi="Calibri"/>
          <w:sz w:val="21"/>
          <w:szCs w:val="21"/>
        </w:rPr>
        <w:t xml:space="preserve">Avoid: claiming nobody has done this. Say "we focused on" rather than "the first".</w:t>
      </w:r>
    </w:p>
    <w:p>
      <w:pPr>
        <w:pStyle w:val="Heading2"/>
        <w:spacing w:after="80" w:before="220"/>
      </w:pPr>
      <w:r>
        <w:rPr>
          <w:rFonts w:ascii="Calibri" w:cs="Calibri" w:eastAsia="Calibri" w:hAnsi="Calibri"/>
          <w:b/>
          <w:bCs/>
          <w:sz w:val="24"/>
          <w:szCs w:val="24"/>
        </w:rPr>
        <w:t xml:space="preserve">3. Objectives and scope   (1 min)</w:t>
      </w:r>
    </w:p>
    <w:p>
      <w:pPr>
        <w:pStyle w:val="ListParagraph"/>
        <w:numPr>
          <w:ilvl w:val="0"/>
          <w:numId w:val="2"/>
        </w:numPr>
        <w:spacing w:after="50"/>
      </w:pPr>
      <w:r>
        <w:rPr>
          <w:rFonts w:ascii="Calibri" w:cs="Calibri" w:eastAsia="Calibri" w:hAnsi="Calibri"/>
          <w:sz w:val="21"/>
          <w:szCs w:val="21"/>
        </w:rPr>
        <w:t xml:space="preserve">Objective 1: identify delay risks for brick masonry from literature and site facts.</w:t>
      </w:r>
    </w:p>
    <w:p>
      <w:pPr>
        <w:pStyle w:val="ListParagraph"/>
        <w:numPr>
          <w:ilvl w:val="0"/>
          <w:numId w:val="2"/>
        </w:numPr>
        <w:spacing w:after="50"/>
      </w:pPr>
      <w:r>
        <w:rPr>
          <w:rFonts w:ascii="Calibri" w:cs="Calibri" w:eastAsia="Calibri" w:hAnsi="Calibri"/>
          <w:sz w:val="21"/>
          <w:szCs w:val="21"/>
        </w:rPr>
        <w:t xml:space="preserve">Objective 2: prepare a risk register in which every number has a Source label.</w:t>
      </w:r>
    </w:p>
    <w:p>
      <w:pPr>
        <w:pStyle w:val="ListParagraph"/>
        <w:numPr>
          <w:ilvl w:val="0"/>
          <w:numId w:val="2"/>
        </w:numPr>
        <w:spacing w:after="50"/>
      </w:pPr>
      <w:r>
        <w:rPr>
          <w:rFonts w:ascii="Calibri" w:cs="Calibri" w:eastAsia="Calibri" w:hAnsi="Calibri"/>
          <w:sz w:val="21"/>
          <w:szCs w:val="21"/>
        </w:rPr>
        <w:t xml:space="preserve">Objective 3: prioritise risks on a 5x5 probability-impact matrix.</w:t>
      </w:r>
    </w:p>
    <w:p>
      <w:pPr>
        <w:pStyle w:val="ListParagraph"/>
        <w:numPr>
          <w:ilvl w:val="0"/>
          <w:numId w:val="2"/>
        </w:numPr>
        <w:spacing w:after="50"/>
      </w:pPr>
      <w:r>
        <w:rPr>
          <w:rFonts w:ascii="Calibri" w:cs="Calibri" w:eastAsia="Calibri" w:hAnsi="Calibri"/>
          <w:sz w:val="21"/>
          <w:szCs w:val="21"/>
        </w:rPr>
        <w:t xml:space="preserve">Objective 4: check the prioritisation against published data (and, in phase 2, real sites).</w:t>
      </w:r>
    </w:p>
    <w:p>
      <w:pPr>
        <w:pStyle w:val="ListParagraph"/>
        <w:numPr>
          <w:ilvl w:val="0"/>
          <w:numId w:val="2"/>
        </w:numPr>
        <w:spacing w:after="50"/>
      </w:pPr>
      <w:r>
        <w:rPr>
          <w:rFonts w:ascii="Calibri" w:cs="Calibri" w:eastAsia="Calibri" w:hAnsi="Calibri"/>
          <w:sz w:val="21"/>
          <w:szCs w:val="21"/>
        </w:rPr>
        <w:t xml:space="preserve">Scope note: an earlier version also had Monte Carlo simulation, cost and mitigation. The scope was deliberately narrowed to identification, register and matrix. Say this once, calmly: a focused tool that can be defended.</w:t>
      </w:r>
    </w:p>
    <w:p>
      <w:pPr>
        <w:pStyle w:val="Heading2"/>
        <w:spacing w:after="80" w:before="220"/>
      </w:pPr>
      <w:r>
        <w:rPr>
          <w:rFonts w:ascii="Calibri" w:cs="Calibri" w:eastAsia="Calibri" w:hAnsi="Calibri"/>
          <w:b/>
          <w:bCs/>
          <w:sz w:val="24"/>
          <w:szCs w:val="24"/>
        </w:rPr>
        <w:t xml:space="preserve">4. Methodology (use the established frameworks)   (1.5 min)</w:t>
      </w:r>
    </w:p>
    <w:p>
      <w:pPr>
        <w:pStyle w:val="ListParagraph"/>
        <w:numPr>
          <w:ilvl w:val="0"/>
          <w:numId w:val="2"/>
        </w:numPr>
        <w:spacing w:after="50"/>
      </w:pPr>
      <w:r>
        <w:rPr>
          <w:rFonts w:ascii="Calibri" w:cs="Calibri" w:eastAsia="Calibri" w:hAnsi="Calibri"/>
          <w:sz w:val="21"/>
          <w:szCs w:val="21"/>
        </w:rPr>
        <w:t xml:space="preserve">Process follows ISO 31000 / PMI-PMBOK: identify, analyse, evaluate.</w:t>
      </w:r>
    </w:p>
    <w:p>
      <w:pPr>
        <w:pStyle w:val="ListParagraph"/>
        <w:numPr>
          <w:ilvl w:val="0"/>
          <w:numId w:val="2"/>
        </w:numPr>
        <w:spacing w:after="50"/>
      </w:pPr>
      <w:r>
        <w:rPr>
          <w:rFonts w:ascii="Calibri" w:cs="Calibri" w:eastAsia="Calibri" w:hAnsi="Calibri"/>
          <w:sz w:val="21"/>
          <w:szCs w:val="21"/>
        </w:rPr>
        <w:t xml:space="preserve">Identification: literature review, checklist (38-risk library covering every cause of delay in 11 studies, in 11 categories), 11 site-fact rules, evidence-cited AI suggestions.</w:t>
      </w:r>
    </w:p>
    <w:p>
      <w:pPr>
        <w:pStyle w:val="ListParagraph"/>
        <w:numPr>
          <w:ilvl w:val="0"/>
          <w:numId w:val="2"/>
        </w:numPr>
        <w:spacing w:after="50"/>
      </w:pPr>
      <w:r>
        <w:rPr>
          <w:rFonts w:ascii="Calibri" w:cs="Calibri" w:eastAsia="Calibri" w:hAnsi="Calibri"/>
          <w:sz w:val="21"/>
          <w:szCs w:val="21"/>
        </w:rPr>
        <w:t xml:space="preserve">Ranking from surveys: Relative Importance Index (RII), the standard in construction delay studies.</w:t>
      </w:r>
    </w:p>
    <w:p>
      <w:pPr>
        <w:pStyle w:val="ListParagraph"/>
        <w:numPr>
          <w:ilvl w:val="0"/>
          <w:numId w:val="2"/>
        </w:numPr>
        <w:spacing w:after="50"/>
      </w:pPr>
      <w:r>
        <w:rPr>
          <w:rFonts w:ascii="Calibri" w:cs="Calibri" w:eastAsia="Calibri" w:hAnsi="Calibri"/>
          <w:sz w:val="21"/>
          <w:szCs w:val="21"/>
        </w:rPr>
        <w:t xml:space="preserve">Assessment: 5x5 probability-impact matrix (PMI qualitative analysis).</w:t>
      </w:r>
    </w:p>
    <w:p>
      <w:pPr>
        <w:pStyle w:val="ListParagraph"/>
        <w:numPr>
          <w:ilvl w:val="0"/>
          <w:numId w:val="2"/>
        </w:numPr>
        <w:spacing w:after="50"/>
      </w:pPr>
      <w:r>
        <w:rPr>
          <w:rFonts w:ascii="Calibri" w:cs="Calibri" w:eastAsia="Calibri" w:hAnsi="Calibri"/>
          <w:sz w:val="21"/>
          <w:szCs w:val="21"/>
        </w:rPr>
        <w:t xml:space="preserve">Optional later step: PERT three-point delays with Monte Carlo (not built; say it is future work).</w:t>
      </w:r>
    </w:p>
    <w:p>
      <w:pPr>
        <w:pStyle w:val="Heading2"/>
        <w:spacing w:after="80" w:before="220"/>
      </w:pPr>
      <w:r>
        <w:rPr>
          <w:rFonts w:ascii="Calibri" w:cs="Calibri" w:eastAsia="Calibri" w:hAnsi="Calibri"/>
          <w:b/>
          <w:bCs/>
          <w:sz w:val="24"/>
          <w:szCs w:val="24"/>
        </w:rPr>
        <w:t xml:space="preserve">5. System flow (one diagram)   (1 min)</w:t>
      </w:r>
    </w:p>
    <w:p>
      <w:pPr>
        <w:pStyle w:val="ListParagraph"/>
        <w:numPr>
          <w:ilvl w:val="0"/>
          <w:numId w:val="2"/>
        </w:numPr>
        <w:spacing w:after="50"/>
      </w:pPr>
      <w:r>
        <w:rPr>
          <w:rFonts w:ascii="Calibri" w:cs="Calibri" w:eastAsia="Calibri" w:hAnsi="Calibri"/>
          <w:sz w:val="21"/>
          <w:szCs w:val="21"/>
        </w:rPr>
        <w:t xml:space="preserve">Draw: Case input (activity, planned duration, site facts) -&gt; rule engine flags risks -&gt; risk register (library + AI suggestions) -&gt; matrix -&gt; export (HTML report, PNG/SVG, CSV, Markdown).</w:t>
      </w:r>
    </w:p>
    <w:p>
      <w:pPr>
        <w:pStyle w:val="ListParagraph"/>
        <w:numPr>
          <w:ilvl w:val="0"/>
          <w:numId w:val="2"/>
        </w:numPr>
        <w:spacing w:after="50"/>
      </w:pPr>
      <w:r>
        <w:rPr>
          <w:rFonts w:ascii="Calibri" w:cs="Calibri" w:eastAsia="Calibri" w:hAnsi="Calibri"/>
          <w:sz w:val="21"/>
          <w:szCs w:val="21"/>
        </w:rPr>
        <w:t xml:space="preserve">Point out the guard: AI may propose risks and cite evidence but never supplies a probability, delay or cost.</w:t>
      </w:r>
    </w:p>
    <w:p>
      <w:pPr>
        <w:pStyle w:val="ListParagraph"/>
        <w:numPr>
          <w:ilvl w:val="0"/>
          <w:numId w:val="2"/>
        </w:numPr>
        <w:spacing w:after="50"/>
      </w:pPr>
      <w:r>
        <w:rPr>
          <w:rFonts w:ascii="Calibri" w:cs="Calibri" w:eastAsia="Calibri" w:hAnsi="Calibri"/>
          <w:sz w:val="21"/>
          <w:szCs w:val="21"/>
        </w:rPr>
        <w:t xml:space="preserve">Point out the Source label on every number (Literature, Historical Data, User Input, Expert Judgment, Derived Calculation, Assumption).</w:t>
      </w:r>
    </w:p>
    <w:p>
      <w:pPr>
        <w:pStyle w:val="Heading2"/>
        <w:spacing w:after="80" w:before="220"/>
      </w:pPr>
      <w:r>
        <w:rPr>
          <w:rFonts w:ascii="Calibri" w:cs="Calibri" w:eastAsia="Calibri" w:hAnsi="Calibri"/>
          <w:b/>
          <w:bCs/>
          <w:sz w:val="24"/>
          <w:szCs w:val="24"/>
        </w:rPr>
        <w:t xml:space="preserve">6. Data used   (1 min)</w:t>
      </w:r>
    </w:p>
    <w:p>
      <w:pPr>
        <w:pStyle w:val="ListParagraph"/>
        <w:numPr>
          <w:ilvl w:val="0"/>
          <w:numId w:val="2"/>
        </w:numPr>
        <w:spacing w:after="50"/>
      </w:pPr>
      <w:r>
        <w:rPr>
          <w:rFonts w:ascii="Calibri" w:cs="Calibri" w:eastAsia="Calibri" w:hAnsi="Calibri"/>
          <w:sz w:val="21"/>
          <w:szCs w:val="21"/>
        </w:rPr>
        <w:t xml:space="preserve">Literature corpus: 21,902 records harvested, filtered to 5,214 construction-relevant; 45 curated PDFs in 5 folders.</w:t>
      </w:r>
    </w:p>
    <w:p>
      <w:pPr>
        <w:pStyle w:val="ListParagraph"/>
        <w:numPr>
          <w:ilvl w:val="0"/>
          <w:numId w:val="2"/>
        </w:numPr>
        <w:spacing w:after="50"/>
      </w:pPr>
      <w:r>
        <w:rPr>
          <w:rFonts w:ascii="Calibri" w:cs="Calibri" w:eastAsia="Calibri" w:hAnsi="Calibri"/>
          <w:sz w:val="21"/>
          <w:szCs w:val="21"/>
        </w:rPr>
        <w:t xml:space="preserve">Risk library: 38 risks in 11 categories (labour 11, management 6, material 5, others fewer), each with the paper values behind it; the original 10 core risks keep their IDs. Say: "the library covers every cause of delay reported in the 11 studies; anything else can be added as a custom or AI-suggested risk" and not "all possible risks".</w:t>
      </w:r>
    </w:p>
    <w:p>
      <w:pPr>
        <w:pStyle w:val="ListParagraph"/>
        <w:numPr>
          <w:ilvl w:val="0"/>
          <w:numId w:val="2"/>
        </w:numPr>
        <w:spacing w:after="50"/>
      </w:pPr>
      <w:r>
        <w:rPr>
          <w:rFonts w:ascii="Calibri" w:cs="Calibri" w:eastAsia="Calibri" w:hAnsi="Calibri"/>
          <w:sz w:val="21"/>
          <w:szCs w:val="21"/>
        </w:rPr>
        <w:t xml:space="preserve">RII dataset: 182 RII values from 11 published surveys, each with table and page (Excel: RII_Masonry_Literature.xlsx).</w:t>
      </w:r>
    </w:p>
    <w:p>
      <w:pPr>
        <w:pStyle w:val="ListParagraph"/>
        <w:numPr>
          <w:ilvl w:val="0"/>
          <w:numId w:val="2"/>
        </w:numPr>
        <w:spacing w:after="50"/>
      </w:pPr>
      <w:r>
        <w:rPr>
          <w:rFonts w:ascii="Calibri" w:cs="Calibri" w:eastAsia="Calibri" w:hAnsi="Calibri"/>
          <w:sz w:val="21"/>
          <w:szCs w:val="21"/>
        </w:rPr>
        <w:t xml:space="preserve">Seed studies (used by the model): M01 Karthik &amp; Rao 2019 (India, masonry), A02 Ponmalar 2018 (Chennai, masonry), M06 Dixit 2019 (India, N=201), A14 Abeysinghe 2022 (Sri Lanka, N=163), A15 Manoharan 2022 (Sri Lanka).</w:t>
      </w:r>
    </w:p>
    <w:p>
      <w:pPr>
        <w:pStyle w:val="ListParagraph"/>
        <w:numPr>
          <w:ilvl w:val="0"/>
          <w:numId w:val="2"/>
        </w:numPr>
        <w:spacing w:after="50"/>
      </w:pPr>
      <w:r>
        <w:rPr>
          <w:rFonts w:ascii="Calibri" w:cs="Calibri" w:eastAsia="Calibri" w:hAnsi="Calibri"/>
          <w:sz w:val="21"/>
          <w:szCs w:val="21"/>
        </w:rPr>
        <w:t xml:space="preserve">Held-out studies (not used by the model, used to test it): M10 Middle East meta-analysis, M15 Brazil, M14 Indonesia workers.</w:t>
      </w:r>
    </w:p>
    <w:p>
      <w:pPr>
        <w:pStyle w:val="ListParagraph"/>
        <w:numPr>
          <w:ilvl w:val="0"/>
          <w:numId w:val="2"/>
        </w:numPr>
        <w:spacing w:after="50"/>
      </w:pPr>
      <w:r>
        <w:rPr>
          <w:rFonts w:ascii="Calibri" w:cs="Calibri" w:eastAsia="Calibri" w:hAnsi="Calibri"/>
          <w:sz w:val="21"/>
          <w:szCs w:val="21"/>
        </w:rPr>
        <w:t xml:space="preserve">Be upfront: no real site data yet. That is why the analysis is on published data.</w:t>
      </w:r>
    </w:p>
    <w:p>
      <w:pPr>
        <w:pStyle w:val="Heading2"/>
        <w:spacing w:after="80" w:before="220"/>
      </w:pPr>
      <w:r>
        <w:rPr>
          <w:rFonts w:ascii="Calibri" w:cs="Calibri" w:eastAsia="Calibri" w:hAnsi="Calibri"/>
          <w:b/>
          <w:bCs/>
          <w:sz w:val="24"/>
          <w:szCs w:val="24"/>
        </w:rPr>
        <w:t xml:space="preserve">7. Data analysis 1: how RII becomes a matrix position   (2 min)</w:t>
      </w:r>
    </w:p>
    <w:p>
      <w:pPr>
        <w:pStyle w:val="ListParagraph"/>
        <w:numPr>
          <w:ilvl w:val="0"/>
          <w:numId w:val="2"/>
        </w:numPr>
        <w:spacing w:after="50"/>
      </w:pPr>
      <w:r>
        <w:rPr>
          <w:rFonts w:ascii="Calibri" w:cs="Calibri" w:eastAsia="Calibri" w:hAnsi="Calibri"/>
          <w:sz w:val="21"/>
          <w:szCs w:val="21"/>
        </w:rPr>
        <w:t xml:space="preserve">Say what RII is: sum of ratings / (highest rating x respondents). It measures importance, not probability, not days.</w:t>
      </w:r>
    </w:p>
    <w:p>
      <w:pPr>
        <w:pStyle w:val="ListParagraph"/>
        <w:numPr>
          <w:ilvl w:val="0"/>
          <w:numId w:val="2"/>
        </w:numPr>
        <w:spacing w:after="50"/>
      </w:pPr>
      <w:r>
        <w:rPr>
          <w:rFonts w:ascii="Calibri" w:cs="Calibri" w:eastAsia="Calibri" w:hAnsi="Calibri"/>
          <w:sz w:val="21"/>
          <w:szCs w:val="21"/>
        </w:rPr>
        <w:t xml:space="preserve">Steps: map each factor to one of the 38 library risks (Direct only, five seed studies) -&gt; average inside each study -&gt; average across studies -&gt; rank the 30 seeded risks -&gt; five bands of six -&gt; class on both axes -&gt; a rule flag raises the probability class by one -&gt; entered numbers replace the seed.</w:t>
      </w:r>
    </w:p>
    <w:p>
      <w:pPr>
        <w:pStyle w:val="ListParagraph"/>
        <w:numPr>
          <w:ilvl w:val="0"/>
          <w:numId w:val="2"/>
        </w:numPr>
        <w:spacing w:after="50"/>
      </w:pPr>
      <w:r>
        <w:rPr>
          <w:rFonts w:ascii="Calibri" w:cs="Calibri" w:eastAsia="Calibri" w:hAnsi="Calibri"/>
          <w:sz w:val="21"/>
          <w:szCs w:val="21"/>
        </w:rPr>
        <w:t xml:space="preserve">Show the top and bottom of the table: class 5 = material shortage 0.789, unsafe conditions 0.787, unskilled labour 0.783, planning 0.777, payment delay 0.773, discipline 0.770; weather 0.693 is class 2; social environment 0.594 is class 1. Eight risks have no seed value and stay off the matrix until numbers are entered.</w:t>
      </w:r>
    </w:p>
    <w:p>
      <w:pPr>
        <w:pStyle w:val="ListParagraph"/>
        <w:numPr>
          <w:ilvl w:val="0"/>
          <w:numId w:val="2"/>
        </w:numPr>
        <w:spacing w:after="50"/>
      </w:pPr>
      <w:r>
        <w:rPr>
          <w:rFonts w:ascii="Calibri" w:cs="Calibri" w:eastAsia="Calibri" w:hAnsi="Calibri"/>
          <w:sz w:val="21"/>
          <w:szCs w:val="21"/>
        </w:rPr>
        <w:t xml:space="preserve">Say the caveat yourself: the six class-5 risks lie within 0.019 of each other, so the band edges split near-ties, and 14 of the 30 seeded risks rest on a single study. The seed is a weak starting order.</w:t>
      </w:r>
    </w:p>
    <w:p>
      <w:pPr>
        <w:pStyle w:val="Heading2"/>
        <w:spacing w:after="80" w:before="220"/>
      </w:pPr>
      <w:r>
        <w:rPr>
          <w:rFonts w:ascii="Calibri" w:cs="Calibri" w:eastAsia="Calibri" w:hAnsi="Calibri"/>
          <w:b/>
          <w:bCs/>
          <w:sz w:val="24"/>
          <w:szCs w:val="24"/>
        </w:rPr>
        <w:t xml:space="preserve">8. Data analysis 2: checking the ranking against other studies   (2 min)</w:t>
      </w:r>
    </w:p>
    <w:p>
      <w:pPr>
        <w:pStyle w:val="ListParagraph"/>
        <w:numPr>
          <w:ilvl w:val="0"/>
          <w:numId w:val="2"/>
        </w:numPr>
        <w:spacing w:after="50"/>
      </w:pPr>
      <w:r>
        <w:rPr>
          <w:rFonts w:ascii="Calibri" w:cs="Calibri" w:eastAsia="Calibri" w:hAnsi="Calibri"/>
          <w:sz w:val="21"/>
          <w:szCs w:val="21"/>
        </w:rPr>
        <w:t xml:space="preserve">Method: Spearman rank correlation between our order and each held-out study, over the risks both cover.</w:t>
      </w:r>
    </w:p>
    <w:p>
      <w:pPr>
        <w:pStyle w:val="ListParagraph"/>
        <w:numPr>
          <w:ilvl w:val="0"/>
          <w:numId w:val="2"/>
        </w:numPr>
        <w:spacing w:after="50"/>
      </w:pPr>
      <w:r>
        <w:rPr>
          <w:rFonts w:ascii="Calibri" w:cs="Calibri" w:eastAsia="Calibri" w:hAnsi="Calibri"/>
          <w:sz w:val="21"/>
          <w:szCs w:val="21"/>
        </w:rPr>
        <w:t xml:space="preserve">Results (full library): Middle East meta-analysis rho 0.28 (19 risks, p=0.24); Brazil managers rho 0.63 (11 risks, p=0.039); Indonesia workers rho -0.18 (13 risks, p=0.55). On the first analysis of only ten core risks the results were 0.40, 0.36 and -0.68, none significant.</w:t>
      </w:r>
    </w:p>
    <w:p>
      <w:pPr>
        <w:pStyle w:val="ListParagraph"/>
        <w:numPr>
          <w:ilvl w:val="0"/>
          <w:numId w:val="2"/>
        </w:numPr>
        <w:spacing w:after="50"/>
      </w:pPr>
      <w:r>
        <w:rPr>
          <w:rFonts w:ascii="Calibri" w:cs="Calibri" w:eastAsia="Calibri" w:hAnsi="Calibri"/>
          <w:sz w:val="21"/>
          <w:szCs w:val="21"/>
        </w:rPr>
        <w:t xml:space="preserve">Interpretation: only the Brazil managers' survey is just below 5%, and one of three tests would not survive a multiple-test correction (threshold 0.017); the other two are not significant. Say it is a hint of agreement with manager-side surveys, not a validation. Also tell them the library was extended after the first analysis, so this is a second look.</w:t>
      </w:r>
    </w:p>
    <w:p>
      <w:pPr>
        <w:pStyle w:val="ListParagraph"/>
        <w:numPr>
          <w:ilvl w:val="0"/>
          <w:numId w:val="2"/>
        </w:numPr>
        <w:spacing w:after="50"/>
      </w:pPr>
      <w:r>
        <w:rPr>
          <w:rFonts w:ascii="Calibri" w:cs="Calibri" w:eastAsia="Calibri" w:hAnsi="Calibri"/>
          <w:sz w:val="21"/>
          <w:szCs w:val="21"/>
        </w:rPr>
        <w:t xml:space="preserve">Honest conclusion: the ranking is a reasonable starting order, not a validated one. It replaces nothing the user enters.</w:t>
      </w:r>
    </w:p>
    <w:p>
      <w:pPr>
        <w:pStyle w:val="ListParagraph"/>
        <w:numPr>
          <w:ilvl w:val="0"/>
          <w:numId w:val="2"/>
        </w:numPr>
        <w:spacing w:after="50"/>
      </w:pPr>
      <w:r>
        <w:rPr>
          <w:rFonts w:ascii="Calibri" w:cs="Calibri" w:eastAsia="Calibri" w:hAnsi="Calibri"/>
          <w:sz w:val="21"/>
          <w:szCs w:val="21"/>
        </w:rPr>
        <w:t xml:space="preserve">Say: "This tests the ranking only. Testing probabilities and delay days needs site records, which is phase 2."</w:t>
      </w:r>
    </w:p>
    <w:p>
      <w:pPr>
        <w:pStyle w:val="Heading2"/>
        <w:spacing w:after="80" w:before="220"/>
      </w:pPr>
      <w:r>
        <w:rPr>
          <w:rFonts w:ascii="Calibri" w:cs="Calibri" w:eastAsia="Calibri" w:hAnsi="Calibri"/>
          <w:b/>
          <w:bCs/>
          <w:sz w:val="24"/>
          <w:szCs w:val="24"/>
        </w:rPr>
        <w:t xml:space="preserve">9. Live demo   (3-4 min)</w:t>
      </w:r>
    </w:p>
    <w:p>
      <w:pPr>
        <w:pStyle w:val="ListParagraph"/>
        <w:numPr>
          <w:ilvl w:val="0"/>
          <w:numId w:val="2"/>
        </w:numPr>
        <w:spacing w:after="50"/>
      </w:pPr>
      <w:r>
        <w:rPr>
          <w:rFonts w:ascii="Calibri" w:cs="Calibri" w:eastAsia="Calibri" w:hAnsi="Calibri"/>
          <w:sz w:val="21"/>
          <w:szCs w:val="21"/>
        </w:rPr>
        <w:t xml:space="preserve">Follow the demo script in section 3 of this pack.</w:t>
      </w:r>
    </w:p>
    <w:p>
      <w:pPr>
        <w:pStyle w:val="Heading2"/>
        <w:spacing w:after="80" w:before="220"/>
      </w:pPr>
      <w:r>
        <w:rPr>
          <w:rFonts w:ascii="Calibri" w:cs="Calibri" w:eastAsia="Calibri" w:hAnsi="Calibri"/>
          <w:b/>
          <w:bCs/>
          <w:sz w:val="24"/>
          <w:szCs w:val="24"/>
        </w:rPr>
        <w:t xml:space="preserve">10. Integrity rules and limitations   (1 min)</w:t>
      </w:r>
    </w:p>
    <w:p>
      <w:pPr>
        <w:pStyle w:val="ListParagraph"/>
        <w:numPr>
          <w:ilvl w:val="0"/>
          <w:numId w:val="2"/>
        </w:numPr>
        <w:spacing w:after="50"/>
      </w:pPr>
      <w:r>
        <w:rPr>
          <w:rFonts w:ascii="Calibri" w:cs="Calibri" w:eastAsia="Calibri" w:hAnsi="Calibri"/>
          <w:sz w:val="21"/>
          <w:szCs w:val="21"/>
        </w:rPr>
        <w:t xml:space="preserve">Never invent papers or numbers; example case is labelled ILLUSTRATIVE.</w:t>
      </w:r>
    </w:p>
    <w:p>
      <w:pPr>
        <w:pStyle w:val="ListParagraph"/>
        <w:numPr>
          <w:ilvl w:val="0"/>
          <w:numId w:val="2"/>
        </w:numPr>
        <w:spacing w:after="50"/>
      </w:pPr>
      <w:r>
        <w:rPr>
          <w:rFonts w:ascii="Calibri" w:cs="Calibri" w:eastAsia="Calibri" w:hAnsi="Calibri"/>
          <w:sz w:val="21"/>
          <w:szCs w:val="21"/>
        </w:rPr>
        <w:t xml:space="preserve">RII is not a probability; the seed is a ranking, shown with a dashed outline and the label "literature seed".</w:t>
      </w:r>
    </w:p>
    <w:p>
      <w:pPr>
        <w:pStyle w:val="ListParagraph"/>
        <w:numPr>
          <w:ilvl w:val="0"/>
          <w:numId w:val="2"/>
        </w:numPr>
        <w:spacing w:after="50"/>
      </w:pPr>
      <w:r>
        <w:rPr>
          <w:rFonts w:ascii="Calibri" w:cs="Calibri" w:eastAsia="Calibri" w:hAnsi="Calibri"/>
          <w:sz w:val="21"/>
          <w:szCs w:val="21"/>
        </w:rPr>
        <w:t xml:space="preserve">Limits: no site data yet; some values were taken from research notes rather than re-read from the PDF (marked in the workbook); keyword filter leaves some noise in the corpus; rule thresholds and matrix thresholds are assumptions.</w:t>
      </w:r>
    </w:p>
    <w:p>
      <w:pPr>
        <w:pStyle w:val="Heading2"/>
        <w:spacing w:after="80" w:before="220"/>
      </w:pPr>
      <w:r>
        <w:rPr>
          <w:rFonts w:ascii="Calibri" w:cs="Calibri" w:eastAsia="Calibri" w:hAnsi="Calibri"/>
          <w:b/>
          <w:bCs/>
          <w:sz w:val="24"/>
          <w:szCs w:val="24"/>
        </w:rPr>
        <w:t xml:space="preserve">11. Remaining work and plan   (1 min)</w:t>
      </w:r>
    </w:p>
    <w:p>
      <w:pPr>
        <w:pStyle w:val="ListParagraph"/>
        <w:numPr>
          <w:ilvl w:val="0"/>
          <w:numId w:val="2"/>
        </w:numPr>
        <w:spacing w:after="50"/>
      </w:pPr>
      <w:r>
        <w:rPr>
          <w:rFonts w:ascii="Calibri" w:cs="Calibri" w:eastAsia="Calibri" w:hAnsi="Calibri"/>
          <w:sz w:val="21"/>
          <w:szCs w:val="21"/>
        </w:rPr>
        <w:t xml:space="preserve">Sensitivity analysis: vary each probability and delay by +/-20-50% and show which risks change level (needs no outside data).</w:t>
      </w:r>
    </w:p>
    <w:p>
      <w:pPr>
        <w:pStyle w:val="ListParagraph"/>
        <w:numPr>
          <w:ilvl w:val="0"/>
          <w:numId w:val="2"/>
        </w:numPr>
        <w:spacing w:after="50"/>
      </w:pPr>
      <w:r>
        <w:rPr>
          <w:rFonts w:ascii="Calibri" w:cs="Calibri" w:eastAsia="Calibri" w:hAnsi="Calibri"/>
          <w:sz w:val="21"/>
          <w:szCs w:val="21"/>
        </w:rPr>
        <w:t xml:space="preserve">Expert survey (own primary data): engineers rate frequency and severity (1-5) of the 10 core risks (a 38-item survey is too long); target 10-15 replies now, 30+ later; compare with the tool and the literature.</w:t>
      </w:r>
    </w:p>
    <w:p>
      <w:pPr>
        <w:pStyle w:val="ListParagraph"/>
        <w:numPr>
          <w:ilvl w:val="0"/>
          <w:numId w:val="2"/>
        </w:numPr>
        <w:spacing w:after="50"/>
      </w:pPr>
      <w:r>
        <w:rPr>
          <w:rFonts w:ascii="Calibri" w:cs="Calibri" w:eastAsia="Calibri" w:hAnsi="Calibri"/>
          <w:sz w:val="21"/>
          <w:szCs w:val="21"/>
        </w:rPr>
        <w:t xml:space="preserve">Site validation (phase 2): the Site Data Collection Form is ready (Word); target 3-5 completed masonry activities; four comparisons: hit rate, rank match, probability calibration, and (if Monte Carlo is added) range coverage.</w:t>
      </w:r>
    </w:p>
    <w:p>
      <w:pPr>
        <w:pStyle w:val="ListParagraph"/>
        <w:numPr>
          <w:ilvl w:val="0"/>
          <w:numId w:val="2"/>
        </w:numPr>
        <w:spacing w:after="50"/>
      </w:pPr>
      <w:r>
        <w:rPr>
          <w:rFonts w:ascii="Calibri" w:cs="Calibri" w:eastAsia="Calibri" w:hAnsi="Calibri"/>
          <w:sz w:val="21"/>
          <w:szCs w:val="21"/>
        </w:rPr>
        <w:t xml:space="preserve">Optional: Monte Carlo prediction step, if the supervisor wants prediction.</w:t>
      </w:r>
    </w:p>
    <w:p>
      <w:pPr>
        <w:pStyle w:val="Heading2"/>
        <w:spacing w:after="80" w:before="220"/>
      </w:pPr>
      <w:r>
        <w:rPr>
          <w:rFonts w:ascii="Calibri" w:cs="Calibri" w:eastAsia="Calibri" w:hAnsi="Calibri"/>
          <w:b/>
          <w:bCs/>
          <w:sz w:val="24"/>
          <w:szCs w:val="24"/>
        </w:rPr>
        <w:t xml:space="preserve">12. Conclusion and ask   (30 s)</w:t>
      </w:r>
    </w:p>
    <w:p>
      <w:pPr>
        <w:pStyle w:val="ListParagraph"/>
        <w:numPr>
          <w:ilvl w:val="0"/>
          <w:numId w:val="2"/>
        </w:numPr>
        <w:spacing w:after="50"/>
      </w:pPr>
      <w:r>
        <w:rPr>
          <w:rFonts w:ascii="Calibri" w:cs="Calibri" w:eastAsia="Calibri" w:hAnsi="Calibri"/>
          <w:sz w:val="21"/>
          <w:szCs w:val="21"/>
        </w:rPr>
        <w:t xml:space="preserve">Summarise in three lines: working tool; first data analysis on 182 published RII values (raw and standardised) with out-of-sample checks; clear plan for survey and site validation.</w:t>
      </w:r>
    </w:p>
    <w:p>
      <w:pPr>
        <w:pStyle w:val="ListParagraph"/>
        <w:numPr>
          <w:ilvl w:val="0"/>
          <w:numId w:val="2"/>
        </w:numPr>
        <w:spacing w:after="50"/>
      </w:pPr>
      <w:r>
        <w:rPr>
          <w:rFonts w:ascii="Calibri" w:cs="Calibri" w:eastAsia="Calibri" w:hAnsi="Calibri"/>
          <w:sz w:val="21"/>
          <w:szCs w:val="21"/>
        </w:rPr>
        <w:t xml:space="preserve">Ask the supervisor one concrete question: framework preference (ISO 31000 vs PMBOK) and whether the expert survey is acceptable as primary data.</w:t>
      </w:r>
    </w:p>
    <w:p>
      <w:pPr>
        <w:pStyle w:val="Heading1"/>
        <w:spacing w:after="120" w:before="320"/>
      </w:pPr>
      <w:r>
        <w:rPr>
          <w:rFonts w:ascii="Calibri" w:cs="Calibri" w:eastAsia="Calibri" w:hAnsi="Calibri"/>
          <w:b/>
          <w:bCs/>
          <w:sz w:val="30"/>
          <w:szCs w:val="30"/>
        </w:rPr>
        <w:t xml:space="preserve">3. Demo script (about 4 minutes)</w:t>
      </w:r>
    </w:p>
    <w:p>
      <w:pPr>
        <w:spacing w:after="90"/>
      </w:pPr>
      <w:r>
        <w:rPr>
          <w:rFonts w:ascii="Calibri" w:cs="Calibri" w:eastAsia="Calibri" w:hAnsi="Calibri"/>
          <w:sz w:val="21"/>
          <w:szCs w:val="21"/>
        </w:rPr>
        <w:t xml:space="preserve">Start the app first and keep one browser tab on it. Rehearse twice. Have the exported files ready as a fallback if the app fails.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5566"/>
      </w:tblGrid>
      <w:tr>
        <w:trPr>
          <w:tblHeader/>
        </w:trPr>
        <w:tc>
          <w:tcPr>
            <w:tcW w:type="dxa" w:w="700"/>
            <w:tcBorders>
              <w:top w:val="single" w:color="9A9A90" w:sz="4"/>
              <w:left w:val="single" w:color="9A9A90" w:sz="4"/>
              <w:bottom w:val="single" w:color="9A9A90" w:sz="4"/>
              <w:right w:val="single" w:color="9A9A90" w:sz="4"/>
            </w:tcBorders>
            <w:shd w:fill="E3E3D8"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w:t>
            </w:r>
          </w:p>
        </w:tc>
        <w:tc>
          <w:tcPr>
            <w:tcW w:type="dxa" w:w="4200"/>
            <w:tcBorders>
              <w:top w:val="single" w:color="9A9A90" w:sz="4"/>
              <w:left w:val="single" w:color="9A9A90" w:sz="4"/>
              <w:bottom w:val="single" w:color="9A9A90" w:sz="4"/>
              <w:right w:val="single" w:color="9A9A90" w:sz="4"/>
            </w:tcBorders>
            <w:shd w:fill="E3E3D8"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Do</w:t>
            </w:r>
          </w:p>
        </w:tc>
        <w:tc>
          <w:tcPr>
            <w:tcW w:type="dxa" w:w="5566"/>
            <w:tcBorders>
              <w:top w:val="single" w:color="9A9A90" w:sz="4"/>
              <w:left w:val="single" w:color="9A9A90" w:sz="4"/>
              <w:bottom w:val="single" w:color="9A9A90" w:sz="4"/>
              <w:right w:val="single" w:color="9A9A90" w:sz="4"/>
            </w:tcBorders>
            <w:shd w:fill="E3E3D8"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Say</w:t>
            </w:r>
          </w:p>
        </w:tc>
      </w:tr>
      <w:tr>
        <w:tc>
          <w:tcPr>
            <w:tcW w:type="dxa" w:w="7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1</w:t>
            </w:r>
          </w:p>
        </w:tc>
        <w:tc>
          <w:tcPr>
            <w:tcW w:type="dxa" w:w="4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Open the app. Click Load example.</w:t>
            </w:r>
          </w:p>
        </w:tc>
        <w:tc>
          <w:tcPr>
            <w:tcW w:type="dxa" w:w="55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"This is a built-in example. Every number is labelled ILLUSTRATIVE and is not real data."</w:t>
            </w:r>
          </w:p>
        </w:tc>
      </w:tr>
      <w:tr>
        <w:tc>
          <w:tcPr>
            <w:tcW w:type="dxa" w:w="7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2</w:t>
            </w:r>
          </w:p>
        </w:tc>
        <w:tc>
          <w:tcPr>
            <w:tcW w:type="dxa" w:w="4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Go to Case &amp; Activity, then Site facts &amp; Rules. Show a rule that fired.</w:t>
            </w:r>
          </w:p>
        </w:tc>
        <w:tc>
          <w:tcPr>
            <w:tcW w:type="dxa" w:w="55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"Site facts trigger rules. Here the monsoon overlap flags the rain risk as elevated."</w:t>
            </w:r>
          </w:p>
        </w:tc>
      </w:tr>
      <w:tr>
        <w:tc>
          <w:tcPr>
            <w:tcW w:type="dxa" w:w="7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3</w:t>
            </w:r>
          </w:p>
        </w:tc>
        <w:tc>
          <w:tcPr>
            <w:tcW w:type="dxa" w:w="4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Go to Risk register. Open one risk and point at the Source label on probability and delay.</w:t>
            </w:r>
          </w:p>
        </w:tc>
        <w:tc>
          <w:tcPr>
            <w:tcW w:type="dxa" w:w="55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"Every number has a Source. The AI is not allowed to supply these."</w:t>
            </w:r>
          </w:p>
        </w:tc>
      </w:tr>
      <w:tr>
        <w:tc>
          <w:tcPr>
            <w:tcW w:type="dxa" w:w="7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4</w:t>
            </w:r>
          </w:p>
        </w:tc>
        <w:tc>
          <w:tcPr>
            <w:tcW w:type="dxa" w:w="4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Go to Risk matrix. Point at the colours and one cell.</w:t>
            </w:r>
          </w:p>
        </w:tc>
        <w:tc>
          <w:tcPr>
            <w:tcW w:type="dxa" w:w="55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"Probability class by impact class. Ordinal prioritisation only, not a prediction."</w:t>
            </w:r>
          </w:p>
        </w:tc>
      </w:tr>
      <w:tr>
        <w:tc>
          <w:tcPr>
            <w:tcW w:type="dxa" w:w="7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5</w:t>
            </w:r>
          </w:p>
        </w:tc>
        <w:tc>
          <w:tcPr>
            <w:tcW w:type="dxa" w:w="4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Start a New blank case. Add 3 library risks and enter no numbers. Open Risk matrix.</w:t>
            </w:r>
          </w:p>
        </w:tc>
        <w:tc>
          <w:tcPr>
            <w:tcW w:type="dxa" w:w="55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"With no numbers entered, the risks still appear, with dashed outlines, placed from literature RII ranks. This is a starting order and says so."</w:t>
            </w:r>
          </w:p>
        </w:tc>
      </w:tr>
      <w:tr>
        <w:tc>
          <w:tcPr>
            <w:tcW w:type="dxa" w:w="7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6</w:t>
            </w:r>
          </w:p>
        </w:tc>
        <w:tc>
          <w:tcPr>
            <w:tcW w:type="dxa" w:w="4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Type a probability into one risk.</w:t>
            </w:r>
          </w:p>
        </w:tc>
        <w:tc>
          <w:tcPr>
            <w:tcW w:type="dxa" w:w="55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"The source switches to User Input automatically, and the seed is replaced by the entered numbers."</w:t>
            </w:r>
          </w:p>
        </w:tc>
      </w:tr>
      <w:tr>
        <w:tc>
          <w:tcPr>
            <w:tcW w:type="dxa" w:w="7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7</w:t>
            </w:r>
          </w:p>
        </w:tc>
        <w:tc>
          <w:tcPr>
            <w:tcW w:type="dxa" w:w="4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Open Export. Show the colour matrix, then open the downloaded report.html.</w:t>
            </w:r>
          </w:p>
        </w:tc>
        <w:tc>
          <w:tcPr>
            <w:tcW w:type="dxa" w:w="55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"The report prints to PDF with the matrix, register, rules fired and evidence cited."</w:t>
            </w:r>
          </w:p>
        </w:tc>
      </w:tr>
    </w:tbl>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9A90" w:sz="4"/>
              <w:left w:val="single" w:color="9A9A90" w:sz="4"/>
              <w:bottom w:val="single" w:color="9A9A90" w:sz="4"/>
              <w:right w:val="single" w:color="9A9A90" w:sz="4"/>
            </w:tcBorders>
            <w:shd w:fill="F6EBD6" w:color="auto" w:val="clear"/>
            <w:tcMar>
              <w:top w:type="dxa" w:w="100"/>
              <w:left w:type="dxa" w:w="140"/>
              <w:bottom w:type="dxa" w:w="100"/>
              <w:right w:type="dxa" w:w="140"/>
            </w:tcMar>
          </w:tcPr>
          <w:p>
            <w:pPr>
              <w:spacing w:after="60"/>
            </w:pPr>
            <w:r>
              <w:rPr>
                <w:rFonts w:ascii="Calibri" w:cs="Calibri" w:eastAsia="Calibri" w:hAnsi="Calibri"/>
                <w:b/>
                <w:bCs/>
                <w:sz w:val="21"/>
                <w:szCs w:val="21"/>
              </w:rPr>
              <w:t xml:space="preserve">If something breaks</w:t>
            </w:r>
          </w:p>
          <w:p>
            <w:pPr>
              <w:spacing w:after="40"/>
            </w:pPr>
            <w:r>
              <w:rPr>
                <w:rFonts w:ascii="Calibri" w:cs="Calibri" w:eastAsia="Calibri" w:hAnsi="Calibri"/>
                <w:sz w:val="20"/>
                <w:szCs w:val="20"/>
              </w:rPr>
              <w:t xml:space="preserve">Say "let me show the exported report" and open the printed or saved report.html. Do not debug in front of the panel.</w:t>
            </w:r>
          </w:p>
        </w:tc>
      </w:tr>
    </w:tbl>
    <w:p>
      <w:pPr>
        <w:pStyle w:val="Heading1"/>
        <w:spacing w:after="120" w:before="320"/>
      </w:pPr>
      <w:r>
        <w:rPr>
          <w:rFonts w:ascii="Calibri" w:cs="Calibri" w:eastAsia="Calibri" w:hAnsi="Calibri"/>
          <w:b/>
          <w:bCs/>
          <w:sz w:val="30"/>
          <w:szCs w:val="30"/>
        </w:rPr>
        <w:t xml:space="preserve">4. The data analysis explained simply (for your own understanding)</w:t>
      </w:r>
    </w:p>
    <w:p>
      <w:pPr>
        <w:pStyle w:val="ListParagraph"/>
        <w:numPr>
          <w:ilvl w:val="0"/>
          <w:numId w:val="2"/>
        </w:numPr>
        <w:spacing w:after="50"/>
      </w:pPr>
      <w:r>
        <w:rPr>
          <w:rFonts w:ascii="Calibri" w:cs="Calibri" w:eastAsia="Calibri" w:hAnsi="Calibri"/>
          <w:b/>
          <w:bCs/>
          <w:sz w:val="21"/>
          <w:szCs w:val="21"/>
        </w:rPr>
        <w:t xml:space="preserve">Question: </w:t>
      </w:r>
      <w:r>
        <w:rPr>
          <w:rFonts w:ascii="Calibri" w:cs="Calibri" w:eastAsia="Calibri" w:hAnsi="Calibri"/>
          <w:sz w:val="21"/>
          <w:szCs w:val="21"/>
        </w:rPr>
        <w:t xml:space="preserve">is the tool's list of biggest risks believable?</w:t>
      </w:r>
    </w:p>
    <w:p>
      <w:pPr>
        <w:pStyle w:val="ListParagraph"/>
        <w:numPr>
          <w:ilvl w:val="0"/>
          <w:numId w:val="2"/>
        </w:numPr>
        <w:spacing w:after="50"/>
      </w:pPr>
      <w:r>
        <w:rPr>
          <w:rFonts w:ascii="Calibri" w:cs="Calibri" w:eastAsia="Calibri" w:hAnsi="Calibri"/>
          <w:b/>
          <w:bCs/>
          <w:sz w:val="21"/>
          <w:szCs w:val="21"/>
        </w:rPr>
        <w:t xml:space="preserve">What we did: </w:t>
      </w:r>
      <w:r>
        <w:rPr>
          <w:rFonts w:ascii="Calibri" w:cs="Calibri" w:eastAsia="Calibri" w:hAnsi="Calibri"/>
          <w:sz w:val="21"/>
          <w:szCs w:val="21"/>
        </w:rPr>
        <w:t xml:space="preserve">collected the importance scores (RII) that published surveys give to delay causes, matched them to our library risks, averaged them, and ranked the risks. That ranking is the starting position on the matrix.</w:t>
      </w:r>
    </w:p>
    <w:p>
      <w:pPr>
        <w:pStyle w:val="ListParagraph"/>
        <w:numPr>
          <w:ilvl w:val="0"/>
          <w:numId w:val="2"/>
        </w:numPr>
        <w:spacing w:after="50"/>
      </w:pPr>
      <w:r>
        <w:rPr>
          <w:rFonts w:ascii="Calibri" w:cs="Calibri" w:eastAsia="Calibri" w:hAnsi="Calibri"/>
          <w:b/>
          <w:bCs/>
          <w:sz w:val="21"/>
          <w:szCs w:val="21"/>
        </w:rPr>
        <w:t xml:space="preserve">How we checked it: </w:t>
      </w:r>
      <w:r>
        <w:rPr>
          <w:rFonts w:ascii="Calibri" w:cs="Calibri" w:eastAsia="Calibri" w:hAnsi="Calibri"/>
          <w:sz w:val="21"/>
          <w:szCs w:val="21"/>
        </w:rPr>
        <w:t xml:space="preserve">compared the ranking with three other studies that were not used to build it (marking our own homework would prove nothing), and repeated the analysis after putting every study on one scale (z-scores).</w:t>
      </w:r>
    </w:p>
    <w:p>
      <w:pPr>
        <w:pStyle w:val="ListParagraph"/>
        <w:numPr>
          <w:ilvl w:val="0"/>
          <w:numId w:val="2"/>
        </w:numPr>
        <w:spacing w:after="50"/>
      </w:pPr>
      <w:r>
        <w:rPr>
          <w:rFonts w:ascii="Calibri" w:cs="Calibri" w:eastAsia="Calibri" w:hAnsi="Calibri"/>
          <w:b/>
          <w:bCs/>
          <w:sz w:val="21"/>
          <w:szCs w:val="21"/>
        </w:rPr>
        <w:t xml:space="preserve">What the check says: </w:t>
      </w:r>
      <w:r>
        <w:rPr>
          <w:rFonts w:ascii="Calibri" w:cs="Calibri" w:eastAsia="Calibri" w:hAnsi="Calibri"/>
          <w:sz w:val="21"/>
          <w:szCs w:val="21"/>
        </w:rPr>
        <w:t xml:space="preserve">weak agreement with two manager-side studies, disagreement with a worker-side study, none statistically significant.</w:t>
      </w:r>
    </w:p>
    <w:p>
      <w:pPr>
        <w:pStyle w:val="ListParagraph"/>
        <w:numPr>
          <w:ilvl w:val="0"/>
          <w:numId w:val="2"/>
        </w:numPr>
        <w:spacing w:after="50"/>
      </w:pPr>
      <w:r>
        <w:rPr>
          <w:rFonts w:ascii="Calibri" w:cs="Calibri" w:eastAsia="Calibri" w:hAnsi="Calibri"/>
          <w:b/>
          <w:bCs/>
          <w:sz w:val="21"/>
          <w:szCs w:val="21"/>
        </w:rPr>
        <w:t xml:space="preserve">What it cannot say: </w:t>
      </w:r>
      <w:r>
        <w:rPr>
          <w:rFonts w:ascii="Calibri" w:cs="Calibri" w:eastAsia="Calibri" w:hAnsi="Calibri"/>
          <w:sz w:val="21"/>
          <w:szCs w:val="21"/>
        </w:rPr>
        <w:t xml:space="preserve">anything about probabilities, delay days or real-site accuracy.</w:t>
      </w:r>
    </w:p>
    <w:p>
      <w:pPr>
        <w:pStyle w:val="ListParagraph"/>
        <w:numPr>
          <w:ilvl w:val="0"/>
          <w:numId w:val="2"/>
        </w:numPr>
        <w:spacing w:after="50"/>
      </w:pPr>
      <w:r>
        <w:rPr>
          <w:rFonts w:ascii="Calibri" w:cs="Calibri" w:eastAsia="Calibri" w:hAnsi="Calibri"/>
          <w:b/>
          <w:bCs/>
          <w:sz w:val="21"/>
          <w:szCs w:val="21"/>
        </w:rPr>
        <w:t xml:space="preserve">Ranking in the tool (mean RII, class): </w:t>
      </w:r>
      <w:r>
        <w:rPr>
          <w:rFonts w:ascii="Calibri" w:cs="Calibri" w:eastAsia="Calibri" w:hAnsi="Calibri"/>
          <w:sz w:val="21"/>
          <w:szCs w:val="21"/>
        </w:rPr>
        <w:t xml:space="preserve">class 5: material shortage 0.789, unsafe conditions 0.787, unskilled labour 0.783, planning 0.777, payment delay 0.773, discipline 0.770; class 4: labour absenteeism, scope clarity, site conditions, design changes, rework, tools; down to class 1: communication, price rises, economic conditions, water, fatigue, social environment. Full table in the workbook.</w:t>
      </w:r>
    </w:p>
    <w:p>
      <w:pPr>
        <w:pStyle w:val="Heading1"/>
        <w:spacing w:after="120" w:before="320"/>
      </w:pPr>
      <w:r>
        <w:rPr>
          <w:rFonts w:ascii="Calibri" w:cs="Calibri" w:eastAsia="Calibri" w:hAnsi="Calibri"/>
          <w:b/>
          <w:bCs/>
          <w:sz w:val="30"/>
          <w:szCs w:val="30"/>
        </w:rPr>
        <w:t xml:space="preserve">5. Likely questions and suggested answers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blHeader/>
        </w:trPr>
        <w:tc>
          <w:tcPr>
            <w:tcW w:type="dxa" w:w="3200"/>
            <w:tcBorders>
              <w:top w:val="single" w:color="9A9A90" w:sz="4"/>
              <w:left w:val="single" w:color="9A9A90" w:sz="4"/>
              <w:bottom w:val="single" w:color="9A9A90" w:sz="4"/>
              <w:right w:val="single" w:color="9A9A90" w:sz="4"/>
            </w:tcBorders>
            <w:shd w:fill="E3E3D8"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Question</w:t>
            </w:r>
          </w:p>
        </w:tc>
        <w:tc>
          <w:tcPr>
            <w:tcW w:type="dxa" w:w="7266"/>
            <w:tcBorders>
              <w:top w:val="single" w:color="9A9A90" w:sz="4"/>
              <w:left w:val="single" w:color="9A9A90" w:sz="4"/>
              <w:bottom w:val="single" w:color="9A9A90" w:sz="4"/>
              <w:right w:val="single" w:color="9A9A90" w:sz="4"/>
            </w:tcBorders>
            <w:shd w:fill="E3E3D8"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Suggested answer (adapt in your own words)</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What is new / what did you do yourselves?</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We built the working tool and the evidence-labelled workflow (rules, guarded AI, source labels, register and matrix, exports) and assembled the RII dataset from 11 papers with an out-of-sample ranking check. The methods themselves (RII, probability-impact matrix, ISO 31000) are established; we apply them to brick masonry at activity level. We do not claim a methodological novelty.</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Why is the data analysis on literature and not real sites?</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Site access and records were not available in time. Published surveys are secondary data, an accepted source in construction research. We have a site data collection form ready for phase 2, and an expert survey to add primary data.</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RII is not a probability. How can you put it on a probability axis?</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We do not claim it is. The seed is a relative ranking: the same rank band is used on both axes and every seeded cell is flagged "literature seed". As soon as the user enters a probability and delay, those replace it.</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Why did you use only five studies for the seed?</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Seed studies are RII surveys from India and Sri Lanka (closest to Indian masonry sites). Studies from other regions are held out and used to test the ranking. Using the held-out ones for the seed would make the test circular.</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Your validation is not significant. So does it work?</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Two of the three held-out tests are not significant (rho 0.28 and -0.18) and the third (rho 0.63, p = 0.039) would not survive a multiple-test correction. So we do not call it validated. It shows moderate agreement with manager-side surveys and none with the workers' survey. We report that as it is and treat the ranking as a starting order.</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Why does the Indonesian workers' survey disagree?</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Respondents differ: workers rank pay, tools and weather higher; managers rank planning, material and labour higher. Who answers changes the ranking, which is why we plan our own expert survey with engineers and compare.</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The top risks have almost the same RII. Is the ranking meaningful?</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Only weakly, and we say so. The six class-5 risks lie within 0.019 and the test of overall difference is not significant (Kruskal-Wallis p = 0.077). The five-band split exaggerates small differences, so we present it as a weak starting order until the user's own numbers or survey data replace it.</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How do the probabilities in the register get their values?</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From the user: User Input, Expert Judgment, Historical Data or a cited source, each labelled. The tool never supplies them from the AI. The built-in example uses placeholder values labelled ILLUSTRATIVE.</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What does the AI do?</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It proposes risks from the evidence corpus and cites records. It cannot output probabilities, delays or costs (guard rules). Suggested risks are marked AI-suggested, unverified.</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How were the 11 rules decided?</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Each rule links a site condition to a library risk (for example material lead time greater than buffer flags material shortage). They are transparent if-then checks with a rationale and are marked as assumptions where no source gives a threshold.</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Why was Monte Carlo removed?</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To keep the deliverable focused on identification and prioritisation. It needs a probability and delay for each risk, which we do not yet have from data. It stays as an optional extension; the code exists.</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How will you validate with real data?</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Collect 3-5 completed masonry activities with the form: planned and actual duration, delay events and days lost, and which of the library risks occurred (the form lists the ten core risks plus a free line for others). Compare risks flagged vs occurred, matrix order vs days lost (Spearman), and over several activities, occurrence frequency vs assigned probability.</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Can three to five sites prove the tool works?</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 They allow a case-study comparison and exposure of weaknesses. We would call it a case-study comparison, not a general validation.</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How was the literature corpus filtered, and is it reliable?</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OpenAlex records were filtered by a transparent keyword rule from 21,902 to 5,214. The rule is heuristic; a few off-topic records remain and a few relevant ones may be missed. The removed records are archived.</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Which values are less certain?</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Values from A02, A14, A15, A10, A21 and Hassoon 2025 came from our research notes, not re-read from the PDFs; the Studies sheet says so. M01, M06, M10, M14 and M15 tables were read directly from the PDFs.</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Does the tool identify all risks?</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It covers every cause of delay reported in the 11 studies: 38 risks in 11 categories, each traceable to the papers behind it. It cannot guarantee that no other risk exists, so anything else can be added as a custom risk or as an AI-suggested risk (marked unverified), and the rules flag library risks from site facts. We say "all risks found in the literature we reviewed", not "all possible risks".</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You extended the library after your first analysis. Is that not changing the question after seeing the answer?</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The library was extended because the first ten risks left out many factors the studies report; the extension was driven by coverage, not by results. We say openly that the analysis was run twice, treat the second run as exploratory, and note that results which changed between the two (for example the Brazil managers' correlation) should not be over-read.</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Why do eight library risks not appear on the matrix?</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They have no value from the five seed studies (for example training, productivity, subcontracting, government policy), so there is nothing to place them from. They are in the register and appear on the matrix as soon as probability and delay are entered.</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Which standard or framework do you follow?</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ISO 31000 and the PMI/PMBOK risk process for the overall flow; RII for survey ranking; the PMI probability-impact matrix for assessment.</w:t>
            </w:r>
          </w:p>
        </w:tc>
      </w:tr>
      <w:tr>
        <w:tc>
          <w:tcPr>
            <w:tcW w:type="dxa" w:w="32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bCs/>
                <w:sz w:val="21"/>
                <w:szCs w:val="21"/>
              </w:rPr>
              <w:t xml:space="preserve">What would you do with another month?</w:t>
            </w:r>
          </w:p>
        </w:tc>
        <w:tc>
          <w:tcPr>
            <w:tcW w:type="dxa" w:w="72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Run the expert survey to 30+ responses, finish the sensitivity analysis, collect site records, and, if wanted, add Monte Carlo prediction with a tornado ranking.</w:t>
            </w:r>
          </w:p>
        </w:tc>
      </w:tr>
    </w:tbl>
    <w:p>
      <w:pPr>
        <w:pStyle w:val="Heading1"/>
        <w:spacing w:after="120" w:before="320"/>
      </w:pPr>
      <w:r>
        <w:rPr>
          <w:rFonts w:ascii="Calibri" w:cs="Calibri" w:eastAsia="Calibri" w:hAnsi="Calibri"/>
          <w:b/>
          <w:bCs/>
          <w:sz w:val="30"/>
          <w:szCs w:val="30"/>
        </w:rPr>
        <w:t xml:space="preserve">6. What is not done yet (be honest, and plan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9A9A90" w:sz="4"/>
              <w:left w:val="single" w:color="9A9A90" w:sz="4"/>
              <w:bottom w:val="single" w:color="9A9A90" w:sz="4"/>
              <w:right w:val="single" w:color="9A9A90" w:sz="4"/>
            </w:tcBorders>
            <w:shd w:fill="E3E3D8"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Item</w:t>
            </w:r>
          </w:p>
        </w:tc>
        <w:tc>
          <w:tcPr>
            <w:tcW w:type="dxa" w:w="2000"/>
            <w:tcBorders>
              <w:top w:val="single" w:color="9A9A90" w:sz="4"/>
              <w:left w:val="single" w:color="9A9A90" w:sz="4"/>
              <w:bottom w:val="single" w:color="9A9A90" w:sz="4"/>
              <w:right w:val="single" w:color="9A9A90" w:sz="4"/>
            </w:tcBorders>
            <w:shd w:fill="E3E3D8"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Status</w:t>
            </w:r>
          </w:p>
        </w:tc>
        <w:tc>
          <w:tcPr>
            <w:tcW w:type="dxa" w:w="5466"/>
            <w:tcBorders>
              <w:top w:val="single" w:color="9A9A90" w:sz="4"/>
              <w:left w:val="single" w:color="9A9A90" w:sz="4"/>
              <w:bottom w:val="single" w:color="9A9A90" w:sz="4"/>
              <w:right w:val="single" w:color="9A9A90" w:sz="4"/>
            </w:tcBorders>
            <w:shd w:fill="E3E3D8" w:color="auto" w:val="clear"/>
            <w:tcMar>
              <w:top w:type="dxa" w:w="60"/>
              <w:left w:type="dxa" w:w="90"/>
              <w:bottom w:type="dxa" w:w="60"/>
              <w:right w:type="dxa" w:w="90"/>
            </w:tcMar>
          </w:tcPr>
          <w:p>
            <w:pPr>
              <w:spacing w:after="40"/>
            </w:pPr>
            <w:r>
              <w:rPr>
                <w:rFonts w:ascii="Calibri" w:cs="Calibri" w:eastAsia="Calibri" w:hAnsi="Calibri"/>
                <w:b/>
                <w:bCs/>
                <w:sz w:val="19"/>
                <w:szCs w:val="19"/>
              </w:rPr>
              <w:t xml:space="preserve">Notes</w:t>
            </w:r>
          </w:p>
        </w:tc>
      </w:tr>
      <w:tr>
        <w:tc>
          <w:tcPr>
            <w:tcW w:type="dxa" w:w="3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RII dataset, seed, validation workbook</w:t>
            </w:r>
          </w:p>
        </w:tc>
        <w:tc>
          <w:tcPr>
            <w:tcW w:type="dxa" w:w="2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Done</w:t>
            </w:r>
          </w:p>
        </w:tc>
        <w:tc>
          <w:tcPr>
            <w:tcW w:type="dxa" w:w="54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RII_Masonry_Literature.xlsx; app and workbook read the same data file.</w:t>
            </w:r>
          </w:p>
        </w:tc>
      </w:tr>
      <w:tr>
        <w:tc>
          <w:tcPr>
            <w:tcW w:type="dxa" w:w="3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Sensitivity analysis</w:t>
            </w:r>
          </w:p>
        </w:tc>
        <w:tc>
          <w:tcPr>
            <w:tcW w:type="dxa" w:w="2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Not built</w:t>
            </w:r>
          </w:p>
        </w:tc>
        <w:tc>
          <w:tcPr>
            <w:tcW w:type="dxa" w:w="54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Vary p and delay by +/-20-50%, count risks changing level. Needs no outside data; about half a day of work.</w:t>
            </w:r>
          </w:p>
        </w:tc>
      </w:tr>
      <w:tr>
        <w:tc>
          <w:tcPr>
            <w:tcW w:type="dxa" w:w="3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Expert survey (primary data)</w:t>
            </w:r>
          </w:p>
        </w:tc>
        <w:tc>
          <w:tcPr>
            <w:tcW w:type="dxa" w:w="2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Not started</w:t>
            </w:r>
          </w:p>
        </w:tc>
        <w:tc>
          <w:tcPr>
            <w:tcW w:type="dxa" w:w="54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Google Form: frequency and severity (1-5) for the 10 core risks; send today; even 10-15 replies help.</w:t>
            </w:r>
          </w:p>
        </w:tc>
      </w:tr>
      <w:tr>
        <w:tc>
          <w:tcPr>
            <w:tcW w:type="dxa" w:w="3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Site data collection</w:t>
            </w:r>
          </w:p>
        </w:tc>
        <w:tc>
          <w:tcPr>
            <w:tcW w:type="dxa" w:w="2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Form ready</w:t>
            </w:r>
          </w:p>
        </w:tc>
        <w:tc>
          <w:tcPr>
            <w:tcW w:type="dxa" w:w="54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Word form done; needs a site or records; phase 2.</w:t>
            </w:r>
          </w:p>
        </w:tc>
      </w:tr>
      <w:tr>
        <w:tc>
          <w:tcPr>
            <w:tcW w:type="dxa" w:w="3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Monte Carlo prediction step</w:t>
            </w:r>
          </w:p>
        </w:tc>
        <w:tc>
          <w:tcPr>
            <w:tcW w:type="dxa" w:w="2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Not built (on hold)</w:t>
            </w:r>
          </w:p>
        </w:tc>
        <w:tc>
          <w:tcPr>
            <w:tcW w:type="dxa" w:w="54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Code exists; only if the supervisor asks for prediction.</w:t>
            </w:r>
          </w:p>
        </w:tc>
      </w:tr>
      <w:tr>
        <w:tc>
          <w:tcPr>
            <w:tcW w:type="dxa" w:w="3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Overview report</w:t>
            </w:r>
          </w:p>
        </w:tc>
        <w:tc>
          <w:tcPr>
            <w:tcW w:type="dxa" w:w="2000"/>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Outdated</w:t>
            </w:r>
          </w:p>
        </w:tc>
        <w:tc>
          <w:tcPr>
            <w:tcW w:type="dxa" w:w="5466"/>
            <w:tcBorders>
              <w:top w:val="single" w:color="9A9A90" w:sz="4"/>
              <w:left w:val="single" w:color="9A9A90" w:sz="4"/>
              <w:bottom w:val="single" w:color="9A9A90" w:sz="4"/>
              <w:right w:val="single" w:color="9A9A90" w:sz="4"/>
            </w:tcBorders>
            <w:tcMar>
              <w:top w:type="dxa" w:w="60"/>
              <w:left w:type="dxa" w:w="90"/>
              <w:bottom w:type="dxa" w:w="60"/>
              <w:right w:type="dxa" w:w="90"/>
            </w:tcMar>
          </w:tcPr>
          <w:p>
            <w:pPr>
              <w:spacing w:after="40"/>
            </w:pPr>
            <w:r>
              <w:rPr>
                <w:rFonts w:ascii="Calibri" w:cs="Calibri" w:eastAsia="Calibri" w:hAnsi="Calibri"/>
                <w:b w:val="false"/>
                <w:bCs w:val="false"/>
                <w:sz w:val="19"/>
                <w:szCs w:val="19"/>
              </w:rPr>
              <w:t xml:space="preserve">docs/Project_Overview_Report.html still describes the earlier, larger app.</w:t>
            </w:r>
          </w:p>
        </w:tc>
      </w:tr>
    </w:tbl>
    <w:p>
      <w:pPr>
        <w:pStyle w:val="Heading1"/>
        <w:spacing w:after="120" w:before="320"/>
      </w:pPr>
      <w:r>
        <w:rPr>
          <w:rFonts w:ascii="Calibri" w:cs="Calibri" w:eastAsia="Calibri" w:hAnsi="Calibri"/>
          <w:b/>
          <w:bCs/>
          <w:sz w:val="30"/>
          <w:szCs w:val="30"/>
        </w:rPr>
        <w:t xml:space="preserve">7. Checklist before Wednesday</w:t>
      </w:r>
    </w:p>
    <w:p>
      <w:pPr>
        <w:pStyle w:val="ListParagraph"/>
        <w:numPr>
          <w:ilvl w:val="0"/>
          <w:numId w:val="2"/>
        </w:numPr>
        <w:spacing w:after="50"/>
      </w:pPr>
      <w:r>
        <w:rPr>
          <w:rFonts w:ascii="Calibri" w:cs="Calibri" w:eastAsia="Calibri" w:hAnsi="Calibri"/>
          <w:sz w:val="21"/>
          <w:szCs w:val="21"/>
        </w:rPr>
        <w:t xml:space="preserve">Restart the app, hard-refresh (Ctrl+F5), and run the full demo twice.</w:t>
      </w:r>
    </w:p>
    <w:p>
      <w:pPr>
        <w:pStyle w:val="ListParagraph"/>
        <w:numPr>
          <w:ilvl w:val="0"/>
          <w:numId w:val="2"/>
        </w:numPr>
        <w:spacing w:after="50"/>
      </w:pPr>
      <w:r>
        <w:rPr>
          <w:rFonts w:ascii="Calibri" w:cs="Calibri" w:eastAsia="Calibri" w:hAnsi="Calibri"/>
          <w:sz w:val="21"/>
          <w:szCs w:val="21"/>
        </w:rPr>
        <w:t xml:space="preserve">Export report.html, matrix.png and register.csv for the example case and keep them as a fallback.</w:t>
      </w:r>
    </w:p>
    <w:p>
      <w:pPr>
        <w:pStyle w:val="ListParagraph"/>
        <w:numPr>
          <w:ilvl w:val="0"/>
          <w:numId w:val="2"/>
        </w:numPr>
        <w:spacing w:after="50"/>
      </w:pPr>
      <w:r>
        <w:rPr>
          <w:rFonts w:ascii="Calibri" w:cs="Calibri" w:eastAsia="Calibri" w:hAnsi="Calibri"/>
          <w:sz w:val="21"/>
          <w:szCs w:val="21"/>
        </w:rPr>
        <w:t xml:space="preserve">Open RII_Masonry_Literature.xlsx on the Seed_Calculation and Validation sheets; know where each number comes from.</w:t>
      </w:r>
    </w:p>
    <w:p>
      <w:pPr>
        <w:pStyle w:val="ListParagraph"/>
        <w:numPr>
          <w:ilvl w:val="0"/>
          <w:numId w:val="2"/>
        </w:numPr>
        <w:spacing w:after="50"/>
      </w:pPr>
      <w:r>
        <w:rPr>
          <w:rFonts w:ascii="Calibri" w:cs="Calibri" w:eastAsia="Calibri" w:hAnsi="Calibri"/>
          <w:sz w:val="21"/>
          <w:szCs w:val="21"/>
        </w:rPr>
        <w:t xml:space="preserve">Decide the slides: 12 slides as above; put the seed table and the validation table on slides 7 and 8 as images or tables.</w:t>
      </w:r>
    </w:p>
    <w:p>
      <w:pPr>
        <w:pStyle w:val="ListParagraph"/>
        <w:numPr>
          <w:ilvl w:val="0"/>
          <w:numId w:val="2"/>
        </w:numPr>
        <w:spacing w:after="50"/>
      </w:pPr>
      <w:r>
        <w:rPr>
          <w:rFonts w:ascii="Calibri" w:cs="Calibri" w:eastAsia="Calibri" w:hAnsi="Calibri"/>
          <w:sz w:val="21"/>
          <w:szCs w:val="21"/>
        </w:rPr>
        <w:t xml:space="preserve">Send the expert survey today and note the number of replies for the last slide.</w:t>
      </w:r>
    </w:p>
    <w:p>
      <w:pPr>
        <w:pStyle w:val="ListParagraph"/>
        <w:numPr>
          <w:ilvl w:val="0"/>
          <w:numId w:val="2"/>
        </w:numPr>
        <w:spacing w:after="50"/>
      </w:pPr>
      <w:r>
        <w:rPr>
          <w:rFonts w:ascii="Calibri" w:cs="Calibri" w:eastAsia="Calibri" w:hAnsi="Calibri"/>
          <w:sz w:val="21"/>
          <w:szCs w:val="21"/>
        </w:rPr>
        <w:t xml:space="preserve">Rehearse the three limitations out loud: no site data, RII is not a probability, validation not significant.</w:t>
      </w:r>
    </w:p>
    <w:p>
      <w:pPr>
        <w:pStyle w:val="ListParagraph"/>
        <w:numPr>
          <w:ilvl w:val="0"/>
          <w:numId w:val="2"/>
        </w:numPr>
        <w:spacing w:after="50"/>
      </w:pPr>
      <w:r>
        <w:rPr>
          <w:rFonts w:ascii="Calibri" w:cs="Calibri" w:eastAsia="Calibri" w:hAnsi="Calibri"/>
          <w:sz w:val="21"/>
          <w:szCs w:val="21"/>
        </w:rPr>
        <w:t xml:space="preserve">Prepare one sentence on each team member's contribution.</w:t>
      </w:r>
    </w:p>
    <w:p>
      <w:pPr>
        <w:pStyle w:val="ListParagraph"/>
        <w:numPr>
          <w:ilvl w:val="0"/>
          <w:numId w:val="2"/>
        </w:numPr>
        <w:spacing w:after="50"/>
      </w:pPr>
      <w:r>
        <w:rPr>
          <w:rFonts w:ascii="Calibri" w:cs="Calibri" w:eastAsia="Calibri" w:hAnsi="Calibri"/>
          <w:sz w:val="21"/>
          <w:szCs w:val="21"/>
        </w:rPr>
        <w:t xml:space="preserve">Ask the supervisor in advance (or at the start): ISO 31000 or PMBOK? Is the expert survey acceptable as primary data?</w:t>
      </w:r>
    </w:p>
    <w:sectPr>
      <w:footerReference w:type="default" r:id="rId6"/>
      <w:pgSz w:w="11906" w:h="16838" w:orient="portrait"/>
      <w:pgMar w:top="1000" w:right="720" w:bottom="10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2"/>
        <w:sz w:val="16"/>
        <w:szCs w:val="16"/>
      </w:rPr>
      <w:t xml:space="preserve">Bricks-ly review preparation   |   page </w:t>
    </w:r>
    <w:r>
      <w:rPr>
        <w:rFonts w:ascii="Calibri" w:cs="Calibri" w:eastAsia="Calibri" w:hAnsi="Calibri"/>
        <w:color w:val="6B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lvl w:ilvl="1" w:tentative="1">
      <w:start w:val="1"/>
      <w:numFmt w:val="bullet"/>
      <w:lvlText w:val="–"/>
      <w:lvlJc w:val="left"/>
      <w:pPr>
        <w:ind w:left="9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sz w:val="30"/>
      <w:szCs w:val="30"/>
    </w:rPr>
  </w:style>
  <w:style w:type="paragraph" w:styleId="Heading2">
    <w:name w:val="Heading 2"/>
    <w:basedOn w:val="Normal"/>
    <w:next w:val="Normal"/>
    <w:qFormat/>
    <w:pPr>
      <w:spacing w:after="80" w:before="220"/>
      <w:outlineLvl w:val="1"/>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2026-10-06T18:05:29.243Z</dcterms:created>
  <dcterms:modified xsi:type="dcterms:W3CDTF">2026-10-06T18:05:29.244Z</dcterms:modified>
</cp:coreProperties>
</file>

<file path=docProps/custom.xml><?xml version="1.0" encoding="utf-8"?>
<Properties xmlns="http://schemas.openxmlformats.org/officeDocument/2006/custom-properties" xmlns:vt="http://schemas.openxmlformats.org/officeDocument/2006/docPropsVTypes"/>
</file>