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8"/>
          <w:szCs w:val="38"/>
        </w:rPr>
        <w:t xml:space="preserve">Statistical Analysis of the RII Data</w:t>
      </w:r>
    </w:p>
    <w:p>
      <w:pPr>
        <w:spacing w:after="140"/>
      </w:pPr>
      <w:r>
        <w:rPr>
          <w:rFonts w:ascii="Calibri" w:cs="Calibri" w:eastAsia="Calibri" w:hAnsi="Calibri"/>
          <w:color w:val="6B6B62"/>
          <w:sz w:val="21"/>
          <w:szCs w:val="21"/>
        </w:rPr>
        <w:t xml:space="preserve">What the 182 published RII values do and do not support, for the 30 library risks that have a seed-study value (of 38 in the library). Computed by scripts/stats_rii.py; every figure comes from docs/rii_statistics.json.</w:t>
      </w:r>
    </w:p>
    <w:p>
      <w:pPr>
        <w:pStyle w:val="Heading1"/>
        <w:spacing w:after="110" w:before="300"/>
      </w:pPr>
      <w:r>
        <w:rPr>
          <w:rFonts w:ascii="Calibri" w:cs="Calibri" w:eastAsia="Calibri" w:hAnsi="Calibri"/>
          <w:b/>
          <w:bCs/>
          <w:sz w:val="27"/>
          <w:szCs w:val="27"/>
        </w:rPr>
        <w:t xml:space="preserve">1. Aim, data and methods</w:t>
      </w:r>
    </w:p>
    <w:p>
      <w:pPr>
        <w:spacing w:after="90"/>
      </w:pPr>
      <w:r>
        <w:rPr>
          <w:rFonts w:ascii="Calibri" w:cs="Calibri" w:eastAsia="Calibri" w:hAnsi="Calibri"/>
          <w:sz w:val="21"/>
          <w:szCs w:val="21"/>
        </w:rPr>
        <w:t xml:space="preserve">Aim: to test statistically whether the literature supports the ranking of delay risks that Bricks-ly uses as its starting position on the matrix, and how stable that ranking is. Every test concerns the ranking only. An RII is an importance rating, not a probability or a number of days.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3466"/>
      </w:tblGrid>
      <w:tr>
        <w:trPr>
          <w:tblHeader/>
        </w:trPr>
        <w:tc>
          <w:tcPr>
            <w:tcW w:type="dxa" w:w="27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Question</w:t>
            </w:r>
          </w:p>
        </w:tc>
        <w:tc>
          <w:tcPr>
            <w:tcW w:type="dxa" w:w="43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Method</w:t>
            </w:r>
          </w:p>
        </w:tc>
        <w:tc>
          <w:tcPr>
            <w:tcW w:type="dxa" w:w="34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Why this method</w:t>
            </w:r>
          </w:p>
        </w:tc>
      </w:tr>
      <w:tr>
        <w:tc>
          <w:tcPr>
            <w:tcW w:type="dxa" w:w="2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How large and how variable are the values?</w:t>
            </w:r>
          </w:p>
        </w:tc>
        <w:tc>
          <w:tcPr>
            <w:tcW w:type="dxa" w:w="4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Mean, SD, min, max per risk across the seed studies</w:t>
            </w:r>
          </w:p>
        </w:tc>
        <w:tc>
          <w:tcPr>
            <w:tcW w:type="dxa" w:w="3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Basic description</w:t>
            </w:r>
          </w:p>
        </w:tc>
      </w:tr>
      <w:tr>
        <w:tc>
          <w:tcPr>
            <w:tcW w:type="dxa" w:w="2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Do the risks differ from each other?</w:t>
            </w:r>
          </w:p>
        </w:tc>
        <w:tc>
          <w:tcPr>
            <w:tcW w:type="dxa" w:w="4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Kruskal-Wallis test; Mann-Whitney U (R-WX vs the rest)</w:t>
            </w:r>
          </w:p>
        </w:tc>
        <w:tc>
          <w:tcPr>
            <w:tcW w:type="dxa" w:w="3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Rank-based; no normality assumption; few values</w:t>
            </w:r>
          </w:p>
        </w:tc>
      </w:tr>
      <w:tr>
        <w:tc>
          <w:tcPr>
            <w:tcW w:type="dxa" w:w="2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Is the ranking stable?</w:t>
            </w:r>
          </w:p>
        </w:tc>
        <w:tc>
          <w:tcPr>
            <w:tcW w:type="dxa" w:w="4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Leave-one-study-out; bootstrap rank intervals; weighted vs unweighted</w:t>
            </w:r>
          </w:p>
        </w:tc>
        <w:tc>
          <w:tcPr>
            <w:tcW w:type="dxa" w:w="3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Checks dependence on any one study</w:t>
            </w:r>
          </w:p>
        </w:tc>
      </w:tr>
      <w:tr>
        <w:tc>
          <w:tcPr>
            <w:tcW w:type="dxa" w:w="2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Does it agree with studies not used?</w:t>
            </w:r>
          </w:p>
        </w:tc>
        <w:tc>
          <w:tcPr>
            <w:tcW w:type="dxa" w:w="4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Spearman ρ (t and permutation p), Kendall τ, bootstrap 95% CI</w:t>
            </w:r>
          </w:p>
        </w:tc>
        <w:tc>
          <w:tcPr>
            <w:tcW w:type="dxa" w:w="3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Standard rank agreement; permutation p is robust for small n</w:t>
            </w:r>
          </w:p>
        </w:tc>
      </w:tr>
      <w:tr>
        <w:tc>
          <w:tcPr>
            <w:tcW w:type="dxa" w:w="2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Do the studies agree with each other?</w:t>
            </w:r>
          </w:p>
        </w:tc>
        <w:tc>
          <w:tcPr>
            <w:tcW w:type="dxa" w:w="4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Pairwise Spearman; Kendall's W; scale-free pooled rank</w:t>
            </w:r>
          </w:p>
        </w:tc>
        <w:tc>
          <w:tcPr>
            <w:tcW w:type="dxa" w:w="3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Tests whether a single 'literature ranking' exists</w:t>
            </w:r>
          </w:p>
        </w:tc>
      </w:tr>
    </w:tbl>
    <w:p>
      <w:pPr>
        <w:spacing w:after="90"/>
      </w:pPr>
      <w:r>
        <w:rPr>
          <w:rFonts w:ascii="Calibri" w:cs="Calibri" w:eastAsia="Calibri" w:hAnsi="Calibri"/>
          <w:i/>
          <w:iCs/>
          <w:color w:val="6B6B62"/>
          <w:sz w:val="21"/>
          <w:szCs w:val="21"/>
        </w:rPr>
        <w:t xml:space="preserve">Data: 66 seed observations (direct values from M01, A02, M06, A14, A15) for 30 risks feed the descriptive and difference tests. Validation uses held-out studies M10, M15 and M14. Eight library risks (R-TRN, R-PRD, R-SUB, R-CLI, R-QLT, R-DEF, R-GOV, R-FIN) have no seed-study value and are not part of the seed analysis. Resampling uses a fixed random seed, so results are reproducible. The library was extended from 10 to 38 risks after a first analysis on the original ten, so this analysis is a second look on a larger set, not an independent replication.</w:t>
      </w:r>
    </w:p>
    <w:p>
      <w:pPr>
        <w:pStyle w:val="Heading1"/>
        <w:spacing w:after="110" w:before="300"/>
      </w:pPr>
      <w:r>
        <w:rPr>
          <w:rFonts w:ascii="Calibri" w:cs="Calibri" w:eastAsia="Calibri" w:hAnsi="Calibri"/>
          <w:b/>
          <w:bCs/>
          <w:sz w:val="27"/>
          <w:szCs w:val="27"/>
        </w:rPr>
        <w:t xml:space="preserve">2. Descriptive statistics (seed studies)</w:t>
      </w:r>
    </w:p>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950"/>
        <w:gridCol w:w="2650"/>
        <w:gridCol w:w="800"/>
        <w:gridCol w:w="1050"/>
        <w:gridCol w:w="950"/>
        <w:gridCol w:w="950"/>
        <w:gridCol w:w="950"/>
        <w:gridCol w:w="1166"/>
      </w:tblGrid>
      <w:tr>
        <w:trPr>
          <w:tblHeader/>
        </w:trPr>
        <w:tc>
          <w:tcPr>
            <w:tcW w:type="dxa" w:w="9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Risk</w:t>
            </w:r>
          </w:p>
        </w:tc>
        <w:tc>
          <w:tcPr>
            <w:tcW w:type="dxa" w:w="26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Name</w:t>
            </w:r>
          </w:p>
        </w:tc>
        <w:tc>
          <w:tcPr>
            <w:tcW w:type="dxa" w:w="8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Studies</w:t>
            </w:r>
          </w:p>
        </w:tc>
        <w:tc>
          <w:tcPr>
            <w:tcW w:type="dxa" w:w="10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Mean RII</w:t>
            </w:r>
          </w:p>
        </w:tc>
        <w:tc>
          <w:tcPr>
            <w:tcW w:type="dxa" w:w="9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SD</w:t>
            </w:r>
          </w:p>
        </w:tc>
        <w:tc>
          <w:tcPr>
            <w:tcW w:type="dxa" w:w="9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Min</w:t>
            </w:r>
          </w:p>
        </w:tc>
        <w:tc>
          <w:tcPr>
            <w:tcW w:type="dxa" w:w="9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Max</w:t>
            </w:r>
          </w:p>
        </w:tc>
        <w:tc>
          <w:tcPr>
            <w:tcW w:type="dxa" w:w="11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Rank</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R-MAT</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Brick / block / mortar material shortage or late delivery</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0.7889</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0.0181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0.777</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0.810</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R-SAFE</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Unsafe conditions or work at height</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0.7865</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0.786</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0.786</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R-SKILL</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Unskilled or unqualified labour</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0.7831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0.0224</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0.759</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0.803</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R-PLAN</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planning or unrealistic scheduling</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0.7771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0.0197</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0.763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0.791</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R-PAY</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Payment delay</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0.7733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0.0023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0.771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0.776</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5</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R-DIS</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labour discipline or weak site leadership</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0.7700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0.0283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0.790</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R-LAB</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Labour absenteeism or shortage</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0.7662</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0.0524</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0.723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0.825</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R-SCP</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Unclear scope or inadequate project formulation</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0.7642</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0.764</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0.764</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R-SITE</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site access, clearance or conditions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0.7611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0.0142</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0.771</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R-DES</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Design changes or incomplete documentation</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0.7585</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0.0375</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0.732</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0.785</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R-RWK</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Rework due to workmanship or defects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0.7561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0.0284</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0.736</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0.776</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R-TOOL</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Tools and equipment delay</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0.7528</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0.0103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0.746</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0.760</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R-INC</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wages or incentives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0.7520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0.752</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0.752</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R-STR</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Labour strikes or disputes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0.7493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0.749</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0.749</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R-CTR</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Contractual disputes and claims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0.7468</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0.747</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0.747</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R-SUP</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supervision or monitoring of workers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0.7440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0.744</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0.744</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R-MOT</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Low motivation, morale or labour turnover</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0.7360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0.736</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0.736</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R-MGT</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site management and coordination</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0.7331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0.0341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0.709</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0.757</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R-CST</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Cost control and budget updating problems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0.7184</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0.718</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0.718</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R-OVT</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Overtime and long working hours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0.7063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0.0265</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0.688</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0.725</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20</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R-ACC</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Accidents and injuries on site</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0.7045</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0.0771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0.650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0.759</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R-STO</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material storage or handling</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0.7000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0.700</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R-MTH</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Construction method or design complexity</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0.7000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0.700</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23</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R-WX</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Rain / monsoon stoppage</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0.6934</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0.0517</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0.653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0.764</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R-COM</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communication or misunderstanding on site</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0.6793</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0.0010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0.679</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0.680</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25</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R-PRC</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Material price escalation</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0.6695</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0.1690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0.550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0.789</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R-ECO</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Economic conditions, inflation or interest rates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0.6612</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0.661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0.661</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27</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R-WAT</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Water shortage</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0.6500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0.650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0.650</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R-FAT</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Worker fatigue, age or personal problems</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0.6100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0.610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0.610</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R-SOC</w:t>
            </w:r>
          </w:p>
        </w:tc>
        <w:tc>
          <w:tcPr>
            <w:tcW w:type="dxa" w:w="26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Social or community environment</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0.5940</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(1)</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0.594</w:t>
            </w:r>
          </w:p>
        </w:tc>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0.594</w:t>
            </w:r>
          </w:p>
        </w:tc>
        <w:tc>
          <w:tcPr>
            <w:tcW w:type="dxa" w:w="1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30</w:t>
            </w:r>
          </w:p>
        </w:tc>
      </w:tr>
    </w:tbl>
    <w:p>
      <w:pPr>
        <w:spacing w:after="90"/>
      </w:pPr>
      <w:r>
        <w:rPr>
          <w:rFonts w:ascii="Calibri" w:cs="Calibri" w:eastAsia="Calibri" w:hAnsi="Calibri"/>
          <w:sz w:val="21"/>
          <w:szCs w:val="21"/>
        </w:rPr>
        <w:t xml:space="preserve">Reading: the mean RII runs from 0.594 (R-SOC) to 0.789 (R-MAT), a range of 0.195. The top six risks lie within 0.019 of each other. 14 of the 30 risks rest on a single seed study, so no SD can be computed and their position depends on one paper. Variation between studies for the same risk can be as large as the gaps between risks: R-LAB runs from 0.723 to 0.825.</w:t>
      </w:r>
    </w:p>
    <w:p>
      <w:pPr>
        <w:pStyle w:val="Heading1"/>
        <w:spacing w:after="110" w:before="300"/>
      </w:pPr>
      <w:r>
        <w:rPr>
          <w:rFonts w:ascii="Calibri" w:cs="Calibri" w:eastAsia="Calibri" w:hAnsi="Calibri"/>
          <w:b/>
          <w:bCs/>
          <w:sz w:val="27"/>
          <w:szCs w:val="27"/>
        </w:rPr>
        <w:t xml:space="preserve">3. Are the risks actually different?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700"/>
        <w:gridCol w:w="1200"/>
        <w:gridCol w:w="2966"/>
      </w:tblGrid>
      <w:tr>
        <w:trPr>
          <w:tblHeader/>
        </w:trPr>
        <w:tc>
          <w:tcPr>
            <w:tcW w:type="dxa" w:w="43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Test</w:t>
            </w:r>
          </w:p>
        </w:tc>
        <w:tc>
          <w:tcPr>
            <w:tcW w:type="dxa" w:w="13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Statistic</w:t>
            </w:r>
          </w:p>
        </w:tc>
        <w:tc>
          <w:tcPr>
            <w:tcW w:type="dxa" w:w="7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df</w:t>
            </w:r>
          </w:p>
        </w:tc>
        <w:tc>
          <w:tcPr>
            <w:tcW w:type="dxa" w:w="12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w:t>
            </w:r>
          </w:p>
        </w:tc>
        <w:tc>
          <w:tcPr>
            <w:tcW w:type="dxa" w:w="29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Result</w:t>
            </w:r>
          </w:p>
        </w:tc>
      </w:tr>
      <w:tr>
        <w:tc>
          <w:tcPr>
            <w:tcW w:type="dxa" w:w="4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Kruskal-Wallis, all 30 risks (66 observations)</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H = 40.47</w:t>
            </w:r>
          </w:p>
        </w:tc>
        <w:tc>
          <w:tcPr>
            <w:tcW w:type="dxa" w:w="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29</w:t>
            </w:r>
          </w:p>
        </w:tc>
        <w:tc>
          <w:tcPr>
            <w:tcW w:type="dxa" w:w="1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0.077</w:t>
            </w:r>
          </w:p>
        </w:tc>
        <w:tc>
          <w:tcPr>
            <w:tcW w:type="dxa" w:w="29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significant at 5%</w:t>
            </w:r>
          </w:p>
        </w:tc>
      </w:tr>
      <w:tr>
        <w:tc>
          <w:tcPr>
            <w:tcW w:type="dxa" w:w="4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Kruskal-Wallis, without R-WX</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H = 38.09</w:t>
            </w:r>
          </w:p>
        </w:tc>
        <w:tc>
          <w:tcPr>
            <w:tcW w:type="dxa" w:w="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w:t>
            </w:r>
          </w:p>
        </w:tc>
        <w:tc>
          <w:tcPr>
            <w:tcW w:type="dxa" w:w="1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0.097</w:t>
            </w:r>
          </w:p>
        </w:tc>
        <w:tc>
          <w:tcPr>
            <w:tcW w:type="dxa" w:w="29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significant</w:t>
            </w:r>
          </w:p>
        </w:tc>
      </w:tr>
      <w:tr>
        <w:tc>
          <w:tcPr>
            <w:tcW w:type="dxa" w:w="4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Mann-Whitney U, R-WX (n=4) vs all others (n=62), one-sided</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 = 62</w:t>
            </w:r>
          </w:p>
        </w:tc>
        <w:tc>
          <w:tcPr>
            <w:tcW w:type="dxa" w:w="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t>
            </w:r>
          </w:p>
        </w:tc>
        <w:tc>
          <w:tcPr>
            <w:tcW w:type="dxa" w:w="1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0.049</w:t>
            </w:r>
          </w:p>
        </w:tc>
        <w:tc>
          <w:tcPr>
            <w:tcW w:type="dxa" w:w="29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Borderline: medians 0.678 vs 0.751</w:t>
            </w:r>
          </w:p>
        </w:tc>
      </w:tr>
    </w:tbl>
    <w:p>
      <w:pPr>
        <w:spacing w:after="90"/>
      </w:pPr>
      <w:r>
        <w:rPr>
          <w:rFonts w:ascii="Calibri" w:cs="Calibri" w:eastAsia="Calibri" w:hAnsi="Calibri"/>
          <w:b/>
          <w:bCs/>
          <w:sz w:val="21"/>
          <w:szCs w:val="21"/>
        </w:rPr>
        <w:t xml:space="preserve">Interpretation. </w:t>
      </w:r>
      <w:r>
        <w:rPr>
          <w:rFonts w:ascii="Calibri" w:cs="Calibri" w:eastAsia="Calibri" w:hAnsi="Calibri"/>
          <w:sz w:val="21"/>
          <w:szCs w:val="21"/>
        </w:rPr>
        <w:t xml:space="preserve">Across 30 risks the overall difference is not significant at 5% (p = 0.077), so the full order is not statistically established. Rain / monsoon is rated lower than the rest only at the edge of significance (one-sided p = 0.049). The strongest separation is between the clearly important risks and a few low-rated ones, not within the top group.</w:t>
      </w:r>
    </w:p>
    <w:p>
      <w:pPr>
        <w:spacing w:after="90"/>
      </w:pPr>
      <w:r>
        <w:rPr>
          <w:rFonts w:ascii="Calibri" w:cs="Calibri" w:eastAsia="Calibri" w:hAnsi="Calibri"/>
          <w:i/>
          <w:iCs/>
          <w:color w:val="6B6B62"/>
          <w:sz w:val="21"/>
          <w:szCs w:val="21"/>
        </w:rPr>
        <w:t xml:space="preserve">Caution: observations from the same study are not independent, so the p-values are indicative, not exact.</w:t>
      </w:r>
    </w:p>
    <w:p>
      <w:pPr>
        <w:pStyle w:val="Heading1"/>
        <w:spacing w:after="110" w:before="300"/>
      </w:pPr>
      <w:r>
        <w:rPr>
          <w:rFonts w:ascii="Calibri" w:cs="Calibri" w:eastAsia="Calibri" w:hAnsi="Calibri"/>
          <w:b/>
          <w:bCs/>
          <w:sz w:val="27"/>
          <w:szCs w:val="27"/>
        </w:rPr>
        <w:t xml:space="preserve">4. Stability of the seed ranking</w:t>
      </w:r>
    </w:p>
    <w:p>
      <w:pPr>
        <w:pStyle w:val="Heading2"/>
        <w:spacing w:after="70" w:before="170"/>
      </w:pPr>
      <w:r>
        <w:rPr>
          <w:rFonts w:ascii="Calibri" w:cs="Calibri" w:eastAsia="Calibri" w:hAnsi="Calibri"/>
          <w:b/>
          <w:bCs/>
          <w:sz w:val="23"/>
          <w:szCs w:val="23"/>
        </w:rPr>
        <w:t xml:space="preserve">4.1 Leave-one-study-out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900"/>
        <w:gridCol w:w="3566"/>
      </w:tblGrid>
      <w:tr>
        <w:trPr>
          <w:tblHeader/>
        </w:trPr>
        <w:tc>
          <w:tcPr>
            <w:tcW w:type="dxa" w:w="22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Study dropped</w:t>
            </w:r>
          </w:p>
        </w:tc>
        <w:tc>
          <w:tcPr>
            <w:tcW w:type="dxa" w:w="18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Risks compared</w:t>
            </w:r>
          </w:p>
        </w:tc>
        <w:tc>
          <w:tcPr>
            <w:tcW w:type="dxa" w:w="29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Spearman ρ with full seed</w:t>
            </w:r>
          </w:p>
        </w:tc>
        <w:tc>
          <w:tcPr>
            <w:tcW w:type="dxa" w:w="35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Largest rank shift</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A02</w:t>
            </w:r>
          </w:p>
        </w:tc>
        <w:tc>
          <w:tcPr>
            <w:tcW w:type="dxa" w:w="1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27</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0.783</w:t>
            </w:r>
          </w:p>
        </w:tc>
        <w:tc>
          <w:tcPr>
            <w:tcW w:type="dxa" w:w="3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A14</w:t>
            </w:r>
          </w:p>
        </w:tc>
        <w:tc>
          <w:tcPr>
            <w:tcW w:type="dxa" w:w="1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30</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0.970</w:t>
            </w:r>
          </w:p>
        </w:tc>
        <w:tc>
          <w:tcPr>
            <w:tcW w:type="dxa" w:w="3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9</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A15</w:t>
            </w:r>
          </w:p>
        </w:tc>
        <w:tc>
          <w:tcPr>
            <w:tcW w:type="dxa" w:w="1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30</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0.986</w:t>
            </w:r>
          </w:p>
        </w:tc>
        <w:tc>
          <w:tcPr>
            <w:tcW w:type="dxa" w:w="3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M01</w:t>
            </w:r>
          </w:p>
        </w:tc>
        <w:tc>
          <w:tcPr>
            <w:tcW w:type="dxa" w:w="1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25</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0.946</w:t>
            </w:r>
          </w:p>
        </w:tc>
        <w:tc>
          <w:tcPr>
            <w:tcW w:type="dxa" w:w="3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M06</w:t>
            </w:r>
          </w:p>
        </w:tc>
        <w:tc>
          <w:tcPr>
            <w:tcW w:type="dxa" w:w="1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0.963</w:t>
            </w:r>
          </w:p>
        </w:tc>
        <w:tc>
          <w:tcPr>
            <w:tcW w:type="dxa" w:w="3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w:t>
            </w:r>
          </w:p>
        </w:tc>
      </w:tr>
    </w:tbl>
    <w:p>
      <w:pPr>
        <w:spacing w:after="90"/>
      </w:pPr>
      <w:r>
        <w:rPr>
          <w:rFonts w:ascii="Calibri" w:cs="Calibri" w:eastAsia="Calibri" w:hAnsi="Calibri"/>
          <w:sz w:val="21"/>
          <w:szCs w:val="21"/>
        </w:rPr>
        <w:t xml:space="preserve">Dropping A14, A15, M01 or M06 leaves ρ at about 0.95 or higher. Dropping A02 matters most (ρ = 0.783, largest rank shift 24): A02 is the only seed source for several risks (for example storage, water shortage and personal problems), so removing it deletes those risks and shifts the ranks of the rest. (Risks that lose all their seed values are left out of the comparison.)</w:t>
      </w:r>
    </w:p>
    <w:p>
      <w:pPr>
        <w:pStyle w:val="Heading2"/>
        <w:spacing w:after="70" w:before="170"/>
      </w:pPr>
      <w:r>
        <w:rPr>
          <w:rFonts w:ascii="Calibri" w:cs="Calibri" w:eastAsia="Calibri" w:hAnsi="Calibri"/>
          <w:b/>
          <w:bCs/>
          <w:sz w:val="23"/>
          <w:szCs w:val="23"/>
        </w:rPr>
        <w:t xml:space="preserve">4.2 Bootstrap rank intervals (resampling the five seed studies, 95%)</w:t>
      </w:r>
    </w:p>
    <w:p>
      <w:pPr>
        <w:spacing w:after="90"/>
      </w:pPr>
      <w:r>
        <w:rPr>
          <w:rFonts w:ascii="Calibri" w:cs="Calibri" w:eastAsia="Calibri" w:hAnsi="Calibri"/>
          <w:sz w:val="21"/>
          <w:szCs w:val="21"/>
        </w:rPr>
        <w:t xml:space="preserve">For each resample, the risks present are ranked and the ranks are scaled to the 1 to 30 range; a risk is counted only in resamples that contain a study covering it. The median 95% interval is 8.4 rank positions wide, out of 30.</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000"/>
        <w:gridCol w:w="1000"/>
        <w:gridCol w:w="2000"/>
        <w:gridCol w:w="1000"/>
        <w:gridCol w:w="1566"/>
      </w:tblGrid>
      <w:tr>
        <w:trPr>
          <w:tblHeader/>
        </w:trPr>
        <w:tc>
          <w:tcPr>
            <w:tcW w:type="dxa" w:w="1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Risk</w:t>
            </w:r>
          </w:p>
        </w:tc>
        <w:tc>
          <w:tcPr>
            <w:tcW w:type="dxa" w:w="29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Name</w:t>
            </w:r>
          </w:p>
        </w:tc>
        <w:tc>
          <w:tcPr>
            <w:tcW w:type="dxa" w:w="1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Seed rank</w:t>
            </w:r>
          </w:p>
        </w:tc>
        <w:tc>
          <w:tcPr>
            <w:tcW w:type="dxa" w:w="1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Median</w:t>
            </w:r>
          </w:p>
        </w:tc>
        <w:tc>
          <w:tcPr>
            <w:tcW w:type="dxa" w:w="2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95% interval</w:t>
            </w:r>
          </w:p>
        </w:tc>
        <w:tc>
          <w:tcPr>
            <w:tcW w:type="dxa" w:w="1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Width</w:t>
            </w:r>
          </w:p>
        </w:tc>
        <w:tc>
          <w:tcPr>
            <w:tcW w:type="dxa" w:w="15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Resamples with data</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R-MAT</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Brick / block / mortar material shortage or late delivery</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2.3</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5.8</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4.8</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4936</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R-SAFE</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Unsafe conditions or work at height</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2.3</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7.4</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6.4</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3373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R-SKILL</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Unskilled or unqualified labour</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3.5</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12.6</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11.6</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4942</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R-PLAN</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planning or unrealistic scheduling</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4.2</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16.3</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15.3</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4653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R-PAY</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Payment delay</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6.6</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4.0 to 12.4</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8.4</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4947</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R-DIS</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labour discipline or weak site leadership</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7.3</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 to 15.5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13.3</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4644</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R-LAB</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Labour absenteeism or shortage</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7.7</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21.9</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20.9</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4936</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R-SCP</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Unclear scope or inadequate project formulation</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8.8</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6.0 to 14.7</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8.7</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3414</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R-SITE</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site access, clearance or conditions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9</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9.5</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6.0 to 14.4</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8.4</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4632</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R-DES</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Design changes or incomplete documentation</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 to 23.6</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20.1</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4653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R-RWK</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Rework due to workmanship or defects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5.8 to 21.1</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15.3</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4653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R-TOOL</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Tools and equipment delay</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11.9</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8.6 to 18.8</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10.3</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4575</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R-INC</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wages or incentives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8.6 to 15.5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6.9</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3373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R-STR</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Labour strikes or disputes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14</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14.9</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13.0 to 19.3</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6.3</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3414</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R-CTR</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Contractual disputes and claims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16.1</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14.0 to 20.8</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6.8</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3414</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R-SUP</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supervision or monitoring of workers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12.3 to 20.0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7.6</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3373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R-MOT</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Low motivation, morale or labour turnover</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15.5 to 22.2</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6.7</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3373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R-MGT</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site management and coordination</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13.1 to 28.3</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15.2</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4653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R-CST</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Cost control and budget updating problems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17.4 to 24.2</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6.8</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3414</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R-OVT</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Overtime and long working hours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18.7 to 25.5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6.9</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4653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R-ACC</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Accidents and injuries on site</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10.3 to 27.0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16.7</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4575</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R-STO</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material storage or handling</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22.5</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16.6 to 24.3</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7.7</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3351</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R-MTH</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Construction method or design complexity</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24.3</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21.5 to 30.0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8.5</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3373</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R-WX</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Rain / monsoon stoppage</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23.3</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13.6 to 30.0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16.4</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4997</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R-COM</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communication or misunderstanding on site</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25.0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21.1 to 27.8</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6.7</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4632</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R-PRC</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Material price escalation</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30.0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29.0</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4600</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R-ECO</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Economic conditions, inflation or interest rates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27</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26.6</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23.7 to 28.9</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5.2</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3414</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R-WAT</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Water shortage</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27.0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24.4 to 28.7</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4.3</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3351</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R-FAT</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Worker fatigue, age or personal problems</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29</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28.8</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27.6 to 30.0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3351</w:t>
            </w:r>
          </w:p>
        </w:tc>
      </w:tr>
      <w:tr>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R-SOC</w:t>
            </w:r>
          </w:p>
        </w:tc>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Social or community environment</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30.0</w:t>
            </w:r>
          </w:p>
        </w:tc>
        <w:tc>
          <w:tcPr>
            <w:tcW w:type="dxa" w:w="2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28.8 to 30.0</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w:t>
            </w:r>
          </w:p>
        </w:tc>
        <w:tc>
          <w:tcPr>
            <w:tcW w:type="dxa" w:w="15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3414</w:t>
            </w:r>
          </w:p>
        </w:tc>
      </w:tr>
    </w:tbl>
    <w:p>
      <w:pPr>
        <w:spacing w:after="90"/>
      </w:pPr>
      <w:r>
        <w:rPr>
          <w:rFonts w:ascii="Calibri" w:cs="Calibri" w:eastAsia="Calibri" w:hAnsi="Calibri"/>
          <w:sz w:val="21"/>
          <w:szCs w:val="21"/>
        </w:rPr>
        <w:t xml:space="preserve">Single-study risks have wide intervals; the order inside the top group is not fixed by the data.</w:t>
      </w:r>
    </w:p>
    <w:p>
      <w:pPr>
        <w:pStyle w:val="Heading2"/>
        <w:spacing w:after="70" w:before="170"/>
      </w:pPr>
      <w:r>
        <w:rPr>
          <w:rFonts w:ascii="Calibri" w:cs="Calibri" w:eastAsia="Calibri" w:hAnsi="Calibri"/>
          <w:b/>
          <w:bCs/>
          <w:sz w:val="23"/>
          <w:szCs w:val="23"/>
        </w:rPr>
        <w:t xml:space="preserve">4.3 Weighting by sample size</w:t>
      </w:r>
    </w:p>
    <w:p>
      <w:pPr>
        <w:spacing w:after="90"/>
      </w:pPr>
      <w:r>
        <w:rPr>
          <w:rFonts w:ascii="Calibri" w:cs="Calibri" w:eastAsia="Calibri" w:hAnsi="Calibri"/>
          <w:sz w:val="21"/>
          <w:szCs w:val="21"/>
        </w:rPr>
        <w:t xml:space="preserve">Weighting each study by its respondent count (M01 44, M06 201, A14 163, A15 90; A02 not reported, so left out of the weighted means where other studies exist) gives Spearman ρ = 0.819 with the unweighted ranking: broadly the same order, with some movement.</w:t>
      </w:r>
    </w:p>
    <w:p>
      <w:pPr>
        <w:pStyle w:val="Heading1"/>
        <w:spacing w:after="110" w:before="300"/>
      </w:pPr>
      <w:r>
        <w:rPr>
          <w:rFonts w:ascii="Calibri" w:cs="Calibri" w:eastAsia="Calibri" w:hAnsi="Calibri"/>
          <w:b/>
          <w:bCs/>
          <w:sz w:val="27"/>
          <w:szCs w:val="27"/>
        </w:rPr>
        <w:t xml:space="preserve">5. Agreement with studies the model did not use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100"/>
        <w:gridCol w:w="1250"/>
        <w:gridCol w:w="1300"/>
        <w:gridCol w:w="1500"/>
        <w:gridCol w:w="1850"/>
        <w:gridCol w:w="1866"/>
      </w:tblGrid>
      <w:tr>
        <w:trPr>
          <w:tblHeader/>
        </w:trPr>
        <w:tc>
          <w:tcPr>
            <w:tcW w:type="dxa" w:w="8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Study</w:t>
            </w:r>
          </w:p>
        </w:tc>
        <w:tc>
          <w:tcPr>
            <w:tcW w:type="dxa" w:w="8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n</w:t>
            </w:r>
          </w:p>
        </w:tc>
        <w:tc>
          <w:tcPr>
            <w:tcW w:type="dxa" w:w="11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Spearman ρ</w:t>
            </w:r>
          </w:p>
        </w:tc>
        <w:tc>
          <w:tcPr>
            <w:tcW w:type="dxa" w:w="12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 (t)</w:t>
            </w:r>
          </w:p>
        </w:tc>
        <w:tc>
          <w:tcPr>
            <w:tcW w:type="dxa" w:w="13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 (permutation)</w:t>
            </w:r>
          </w:p>
        </w:tc>
        <w:tc>
          <w:tcPr>
            <w:tcW w:type="dxa" w:w="15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Kendall τ (p)</w:t>
            </w:r>
          </w:p>
        </w:tc>
        <w:tc>
          <w:tcPr>
            <w:tcW w:type="dxa" w:w="18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Bootstrap 95% CI for ρ</w:t>
            </w:r>
          </w:p>
        </w:tc>
        <w:tc>
          <w:tcPr>
            <w:tcW w:type="dxa" w:w="18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ρ needed for p&lt;0.05</w:t>
            </w:r>
          </w:p>
        </w:tc>
      </w:tr>
      <w:tr>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M10</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0.282</w:t>
            </w:r>
          </w:p>
        </w:tc>
        <w:tc>
          <w:tcPr>
            <w:tcW w:type="dxa" w:w="12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0.243</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0.240</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0.188 (0.263)</w:t>
            </w:r>
          </w:p>
        </w:tc>
        <w:tc>
          <w:tcPr>
            <w:tcW w:type="dxa" w:w="18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-0.18 to 0.68</w:t>
            </w:r>
          </w:p>
        </w:tc>
        <w:tc>
          <w:tcPr>
            <w:tcW w:type="dxa" w:w="1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0.46</w:t>
            </w:r>
          </w:p>
        </w:tc>
      </w:tr>
      <w:tr>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M15</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0.627</w:t>
            </w:r>
          </w:p>
        </w:tc>
        <w:tc>
          <w:tcPr>
            <w:tcW w:type="dxa" w:w="12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0.039</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0.045</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0.418 (0.087)</w:t>
            </w:r>
          </w:p>
        </w:tc>
        <w:tc>
          <w:tcPr>
            <w:tcW w:type="dxa" w:w="18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0.08 to 0.91</w:t>
            </w:r>
          </w:p>
        </w:tc>
        <w:tc>
          <w:tcPr>
            <w:tcW w:type="dxa" w:w="1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0.60</w:t>
            </w:r>
          </w:p>
        </w:tc>
      </w:tr>
      <w:tr>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M14</w:t>
            </w:r>
          </w:p>
        </w:tc>
        <w:tc>
          <w:tcPr>
            <w:tcW w:type="dxa" w:w="8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-0.181</w:t>
            </w:r>
          </w:p>
        </w:tc>
        <w:tc>
          <w:tcPr>
            <w:tcW w:type="dxa" w:w="12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0.553</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0.553</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-0.154 (0.510)</w:t>
            </w:r>
          </w:p>
        </w:tc>
        <w:tc>
          <w:tcPr>
            <w:tcW w:type="dxa" w:w="18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-0.65 to 0.35</w:t>
            </w:r>
          </w:p>
        </w:tc>
        <w:tc>
          <w:tcPr>
            <w:tcW w:type="dxa" w:w="1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0.55</w:t>
            </w:r>
          </w:p>
        </w:tc>
      </w:tr>
    </w:tbl>
    <w:p>
      <w:pPr>
        <w:spacing w:after="90"/>
      </w:pPr>
      <w:r>
        <w:rPr>
          <w:rFonts w:ascii="Calibri" w:cs="Calibri" w:eastAsia="Calibri" w:hAnsi="Calibri"/>
          <w:b/>
          <w:bCs/>
          <w:sz w:val="21"/>
          <w:szCs w:val="21"/>
        </w:rPr>
        <w:t xml:space="preserve">Interpretation. </w:t>
      </w:r>
      <w:r>
        <w:rPr>
          <w:rFonts w:ascii="Calibri" w:cs="Calibri" w:eastAsia="Calibri" w:hAnsi="Calibri"/>
          <w:sz w:val="21"/>
          <w:szCs w:val="21"/>
        </w:rPr>
        <w:t xml:space="preserve">M10 (Middle East meta-analysis, n = 19) gives ρ = 0.28, weakly positive and not significant (p = 0.243). M14 (Indonesian workers, n = 13) gives ρ = -0.18, no relation. M15 (Brazil managers, n = 11) gives ρ = 0.63, p = 0.039 (permutation p = 0.045), which is just below 5%. One significant result out of three tests is weak evidence: with a Bonferroni correction the threshold is 0.017 and M15 does not pass. The Kendall τ for M15 (0.42, p = 0.087) is not significant, and the confidence interval for ρ (0.08 to 0.91) is wide. The result also depends on which risks are compared, which changed when the library was extended. Report it as a hint of agreement with manager-side surveys, not as a validation.</w:t>
      </w:r>
    </w:p>
    <w:p>
      <w:pPr>
        <w:pStyle w:val="Heading1"/>
        <w:spacing w:after="110" w:before="300"/>
      </w:pPr>
      <w:r>
        <w:rPr>
          <w:rFonts w:ascii="Calibri" w:cs="Calibri" w:eastAsia="Calibri" w:hAnsi="Calibri"/>
          <w:b/>
          <w:bCs/>
          <w:sz w:val="27"/>
          <w:szCs w:val="27"/>
        </w:rPr>
        <w:t xml:space="preserve">6. Do the studies agree with each other?</w:t>
      </w:r>
    </w:p>
    <w:p>
      <w:pPr>
        <w:spacing w:after="90"/>
      </w:pPr>
      <w:r>
        <w:rPr>
          <w:rFonts w:ascii="Calibri" w:cs="Calibri" w:eastAsia="Calibri" w:hAnsi="Calibri"/>
          <w:sz w:val="21"/>
          <w:szCs w:val="21"/>
        </w:rPr>
        <w:t xml:space="preserve">Across the 16 study pairs that share at least four risks, Spearman ρ averages 0.33 (median 0.31), from -0.43 to 0.89. Best agreement: M06 with M15 (ρ = 0.89, n = 6). Weakest: M15 with M14 (ρ = -0.43, n = 6).</w:t>
      </w:r>
    </w:p>
    <w:p>
      <w:pPr>
        <w:spacing w:after="90"/>
      </w:pPr>
      <w:r>
        <w:rPr>
          <w:rFonts w:ascii="Calibri" w:cs="Calibri" w:eastAsia="Calibri" w:hAnsi="Calibri"/>
          <w:sz w:val="21"/>
          <w:szCs w:val="21"/>
        </w:rPr>
        <w:t xml:space="preserve">Kendall's coefficient of concordance for the four studies that cover the same 6 risks (M01, M10, M15, M14; R-MAT, R-TOOL, R-SKILL, R-PLAN, R-WX, R-MTH): W = 0.40, χ² = 8.00, p = 0.156. Moderate concordance, not significant with so few risks.</w:t>
      </w:r>
    </w:p>
    <w:p>
      <w:pPr>
        <w:spacing w:after="90"/>
      </w:pPr>
      <w:r>
        <w:rPr>
          <w:rFonts w:ascii="Calibri" w:cs="Calibri" w:eastAsia="Calibri" w:hAnsi="Calibri"/>
          <w:sz w:val="21"/>
          <w:szCs w:val="21"/>
        </w:rPr>
        <w:t xml:space="preserve">A scale-free pooled ranking (mean within-study rank across all studies covering at least four risks) correlates with the seed at ρ = 0.73. With the larger risk set, the seed and the all-study pooled order are broadly consistent.</w:t>
      </w:r>
    </w:p>
    <w:p>
      <w:pPr>
        <w:spacing w:after="90"/>
      </w:pPr>
      <w:r>
        <w:rPr>
          <w:rFonts w:ascii="Calibri" w:cs="Calibri" w:eastAsia="Calibri" w:hAnsi="Calibri"/>
          <w:b/>
          <w:bCs/>
          <w:sz w:val="21"/>
          <w:szCs w:val="21"/>
        </w:rPr>
        <w:t xml:space="preserve">Interpretation. </w:t>
      </w:r>
      <w:r>
        <w:rPr>
          <w:rFonts w:ascii="Calibri" w:cs="Calibri" w:eastAsia="Calibri" w:hAnsi="Calibri"/>
          <w:sz w:val="21"/>
          <w:szCs w:val="21"/>
        </w:rPr>
        <w:t xml:space="preserve">Agreement between studies is modest rather than absent: the studies broadly agree on which factors are important and which are not (for example payment, planning and material factors against social environment or personal problems), but disagree on the order within the important group. Rankings still change with country, project type, rating scale and respondents.</w:t>
      </w:r>
    </w:p>
    <w:p>
      <w:pPr>
        <w:spacing w:after="90"/>
      </w:pPr>
      <w:r>
        <w:rPr>
          <w:rFonts w:ascii="Calibri" w:cs="Calibri" w:eastAsia="Calibri" w:hAnsi="Calibri"/>
          <w:i/>
          <w:iCs/>
          <w:color w:val="6B6B62"/>
          <w:sz w:val="21"/>
          <w:szCs w:val="21"/>
        </w:rPr>
        <w:t xml:space="preserve">Raw RII cannot be pooled across studies directly because rating scales differ (1 to 4 versus 1 to 5); that is why section 6 uses ranks, and why a separate analysis standardises each study (Statistical_Analysis_Standardised.docx).</w:t>
      </w:r>
    </w:p>
    <w:p>
      <w:pPr>
        <w:pStyle w:val="Heading1"/>
        <w:spacing w:after="110" w:before="300"/>
      </w:pPr>
      <w:r>
        <w:rPr>
          <w:rFonts w:ascii="Calibri" w:cs="Calibri" w:eastAsia="Calibri" w:hAnsi="Calibri"/>
          <w:b/>
          <w:bCs/>
          <w:sz w:val="27"/>
          <w:szCs w:val="27"/>
        </w:rPr>
        <w:t xml:space="preserve">7. What the statistics support and do not support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0"/>
        <w:gridCol w:w="5466"/>
      </w:tblGrid>
      <w:tr>
        <w:trPr>
          <w:tblHeader/>
        </w:trPr>
        <w:tc>
          <w:tcPr>
            <w:tcW w:type="dxa" w:w="5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Supported</w:t>
            </w:r>
          </w:p>
        </w:tc>
        <w:tc>
          <w:tcPr>
            <w:tcW w:type="dxa" w:w="54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Not supported</w:t>
            </w:r>
          </w:p>
        </w:tc>
      </w:tr>
      <w:tr>
        <w:tc>
          <w:tcPr>
            <w:tcW w:type="dxa" w:w="5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 broad split between higher- and lower-rated factors; the seed is consistent with the pooled order across studies (ρ = 0.73).</w:t>
            </w:r>
          </w:p>
        </w:tc>
        <w:tc>
          <w:tcPr>
            <w:tcW w:type="dxa" w:w="5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 strict order inside the top group of risks (Kruskal-Wallis p = 0.077; top six within 0.019).</w:t>
            </w:r>
          </w:p>
        </w:tc>
      </w:tr>
      <w:tr>
        <w:tc>
          <w:tcPr>
            <w:tcW w:type="dxa" w:w="5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Rain / monsoon rated lower than the rest, at the edge of significance (p = 0.049).</w:t>
            </w:r>
          </w:p>
        </w:tc>
        <w:tc>
          <w:tcPr>
            <w:tcW w:type="dxa" w:w="5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 confirmed validation: M10 ρ = 0.28, M14 ρ = -0.18; only M15 (ρ = 0.63) is below 0.05 and would not pass a multiple-test correction.</w:t>
            </w:r>
          </w:p>
        </w:tc>
      </w:tr>
      <w:tr>
        <w:tc>
          <w:tcPr>
            <w:tcW w:type="dxa" w:w="5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The ranking is stable to dropping A14, A15, M01 or M06.</w:t>
            </w:r>
          </w:p>
        </w:tc>
        <w:tc>
          <w:tcPr>
            <w:tcW w:type="dxa" w:w="5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Stability to dropping A02, which is the only source for several risks.</w:t>
            </w:r>
          </w:p>
        </w:tc>
      </w:tr>
      <w:tr>
        <w:tc>
          <w:tcPr>
            <w:tcW w:type="dxa" w:w="5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The seed is a usable, clearly labelled starting order.</w:t>
            </w:r>
          </w:p>
        </w:tc>
        <w:tc>
          <w:tcPr>
            <w:tcW w:type="dxa" w:w="5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Any statement about probabilities or delay days (needs survey or site data).</w:t>
            </w:r>
          </w:p>
        </w:tc>
      </w:tr>
    </w:tbl>
    <w:p>
      <w:pPr>
        <w:pStyle w:val="Heading1"/>
        <w:spacing w:after="110" w:before="300"/>
      </w:pPr>
      <w:r>
        <w:rPr>
          <w:rFonts w:ascii="Calibri" w:cs="Calibri" w:eastAsia="Calibri" w:hAnsi="Calibri"/>
          <w:b/>
          <w:bCs/>
          <w:sz w:val="27"/>
          <w:szCs w:val="27"/>
        </w:rPr>
        <w:t xml:space="preserve">8. Assumptions and limitations</w:t>
      </w:r>
    </w:p>
    <w:p>
      <w:pPr>
        <w:pStyle w:val="ListParagraph"/>
        <w:numPr>
          <w:ilvl w:val="0"/>
          <w:numId w:val="2"/>
        </w:numPr>
        <w:spacing w:after="50"/>
      </w:pPr>
      <w:r>
        <w:rPr>
          <w:rFonts w:ascii="Calibri" w:cs="Calibri" w:eastAsia="Calibri" w:hAnsi="Calibri"/>
          <w:sz w:val="21"/>
          <w:szCs w:val="21"/>
        </w:rPr>
        <w:t xml:space="preserve">Small samples: 5 seed studies; 14 of 30 risks rest on one study. Tests have low power; non-significance does not prove disagreement.</w:t>
      </w:r>
    </w:p>
    <w:p>
      <w:pPr>
        <w:pStyle w:val="ListParagraph"/>
        <w:numPr>
          <w:ilvl w:val="0"/>
          <w:numId w:val="2"/>
        </w:numPr>
        <w:spacing w:after="50"/>
      </w:pPr>
      <w:r>
        <w:rPr>
          <w:rFonts w:ascii="Calibri" w:cs="Calibri" w:eastAsia="Calibri" w:hAnsi="Calibri"/>
          <w:sz w:val="21"/>
          <w:szCs w:val="21"/>
        </w:rPr>
        <w:t xml:space="preserve">Non-independence: several values come from the same study, so p-values in section 3 are indicative.</w:t>
      </w:r>
    </w:p>
    <w:p>
      <w:pPr>
        <w:pStyle w:val="ListParagraph"/>
        <w:numPr>
          <w:ilvl w:val="0"/>
          <w:numId w:val="2"/>
        </w:numPr>
        <w:spacing w:after="50"/>
      </w:pPr>
      <w:r>
        <w:rPr>
          <w:rFonts w:ascii="Calibri" w:cs="Calibri" w:eastAsia="Calibri" w:hAnsi="Calibri"/>
          <w:sz w:val="21"/>
          <w:szCs w:val="21"/>
        </w:rPr>
        <w:t xml:space="preserve">Mapping judgement: whether a factor counts as Direct for a risk is a judgement (Direct / Related column in the workbook); changing it changes the results.</w:t>
      </w:r>
    </w:p>
    <w:p>
      <w:pPr>
        <w:pStyle w:val="ListParagraph"/>
        <w:numPr>
          <w:ilvl w:val="0"/>
          <w:numId w:val="2"/>
        </w:numPr>
        <w:spacing w:after="50"/>
      </w:pPr>
      <w:r>
        <w:rPr>
          <w:rFonts w:ascii="Calibri" w:cs="Calibri" w:eastAsia="Calibri" w:hAnsi="Calibri"/>
          <w:sz w:val="21"/>
          <w:szCs w:val="21"/>
        </w:rPr>
        <w:t xml:space="preserve">Scale and population differences: 1-4 versus 1-5 scales, managers versus workers, countries.</w:t>
      </w:r>
    </w:p>
    <w:p>
      <w:pPr>
        <w:pStyle w:val="ListParagraph"/>
        <w:numPr>
          <w:ilvl w:val="0"/>
          <w:numId w:val="2"/>
        </w:numPr>
        <w:spacing w:after="50"/>
      </w:pPr>
      <w:r>
        <w:rPr>
          <w:rFonts w:ascii="Calibri" w:cs="Calibri" w:eastAsia="Calibri" w:hAnsi="Calibri"/>
          <w:sz w:val="21"/>
          <w:szCs w:val="21"/>
        </w:rPr>
        <w:t xml:space="preserve">Analysis done twice: the library grew from 10 to 38 risks after a first analysis. Results that change between the two (for example the M15 correlation) should be treated as exploratory.</w:t>
      </w:r>
    </w:p>
    <w:p>
      <w:pPr>
        <w:pStyle w:val="ListParagraph"/>
        <w:numPr>
          <w:ilvl w:val="0"/>
          <w:numId w:val="2"/>
        </w:numPr>
        <w:spacing w:after="50"/>
      </w:pPr>
      <w:r>
        <w:rPr>
          <w:rFonts w:ascii="Calibri" w:cs="Calibri" w:eastAsia="Calibri" w:hAnsi="Calibri"/>
          <w:sz w:val="21"/>
          <w:szCs w:val="21"/>
        </w:rPr>
        <w:t xml:space="preserve">Values from A02, A14, A15, A10, A21 and Hassoon 2025 were taken from research notes rather than re-read from the PDFs.</w:t>
      </w:r>
    </w:p>
    <w:p>
      <w:pPr>
        <w:pStyle w:val="Heading1"/>
        <w:spacing w:after="110" w:before="300"/>
      </w:pPr>
      <w:r>
        <w:rPr>
          <w:rFonts w:ascii="Calibri" w:cs="Calibri" w:eastAsia="Calibri" w:hAnsi="Calibri"/>
          <w:b/>
          <w:bCs/>
          <w:sz w:val="27"/>
          <w:szCs w:val="27"/>
        </w:rPr>
        <w:t xml:space="preserve">9. Statistical plan for the next data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3366"/>
      </w:tblGrid>
      <w:tr>
        <w:trPr>
          <w:tblHeader/>
        </w:trPr>
        <w:tc>
          <w:tcPr>
            <w:tcW w:type="dxa" w:w="29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Data</w:t>
            </w:r>
          </w:p>
        </w:tc>
        <w:tc>
          <w:tcPr>
            <w:tcW w:type="dxa" w:w="42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Tests</w:t>
            </w:r>
          </w:p>
        </w:tc>
        <w:tc>
          <w:tcPr>
            <w:tcW w:type="dxa" w:w="33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Minimum / note</w:t>
            </w:r>
          </w:p>
        </w:tc>
      </w:tr>
      <w:tr>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Expert survey (importance, frequency, impact)</w:t>
            </w:r>
          </w:p>
        </w:tc>
        <w:tc>
          <w:tcPr>
            <w:tcW w:type="dxa" w:w="4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RII; Cronbach's α for reliability; Friedman test across the risks; Spearman or Kendall against the seed; Mann-Whitney (managers vs workers)</w:t>
            </w:r>
          </w:p>
        </w:tc>
        <w:tc>
          <w:tcPr>
            <w:tcW w:type="dxa" w:w="33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30 or more responses for α and Friedman; 10-15 as a pilot, descriptive only</w:t>
            </w:r>
          </w:p>
        </w:tc>
      </w:tr>
      <w:tr>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Site records (3 to 5 activities)</w:t>
            </w:r>
          </w:p>
        </w:tc>
        <w:tc>
          <w:tcPr>
            <w:tcW w:type="dxa" w:w="4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Hit rate and precision of flagged risks; Spearman between matrix order and days lost</w:t>
            </w:r>
          </w:p>
        </w:tc>
        <w:tc>
          <w:tcPr>
            <w:tcW w:type="dxa" w:w="33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Case-study comparison; no significance claims</w:t>
            </w:r>
          </w:p>
        </w:tc>
      </w:tr>
      <w:tr>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Site records (many activities)</w:t>
            </w:r>
          </w:p>
        </w:tc>
        <w:tc>
          <w:tcPr>
            <w:tcW w:type="dxa" w:w="4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Calibration: compare assigned p with observed frequency (binomial test, Brier score)</w:t>
            </w:r>
          </w:p>
        </w:tc>
        <w:tc>
          <w:tcPr>
            <w:tcW w:type="dxa" w:w="33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Needs roughly 20 or more activities per risk</w:t>
            </w:r>
          </w:p>
        </w:tc>
      </w:tr>
      <w:tr>
        <w:tc>
          <w:tcPr>
            <w:tcW w:type="dxa" w:w="2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Sensitivity of the matrix</w:t>
            </w:r>
          </w:p>
        </w:tc>
        <w:tc>
          <w:tcPr>
            <w:tcW w:type="dxa" w:w="4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Vary each p and delay by ±20-50%; count level changes</w:t>
            </w:r>
          </w:p>
        </w:tc>
        <w:tc>
          <w:tcPr>
            <w:tcW w:type="dxa" w:w="33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 outside data needed</w:t>
            </w:r>
          </w:p>
        </w:tc>
      </w:tr>
    </w:tbl>
    <w:sectPr>
      <w:footerReference w:type="default" r:id="rId6"/>
      <w:pgSz w:w="11906" w:h="16838" w:orient="portrait"/>
      <w:pgMar w:top="1000" w:right="720" w:bottom="10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2"/>
        <w:sz w:val="16"/>
        <w:szCs w:val="16"/>
      </w:rPr>
      <w:t xml:space="preserve">Bricks-ly statistical analysis   |   page </w:t>
    </w:r>
    <w:r>
      <w:rPr>
        <w:rFonts w:ascii="Calibri" w:cs="Calibri" w:eastAsia="Calibri" w:hAnsi="Calibri"/>
        <w:color w:val="6B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Calibri" w:cs="Calibri" w:eastAsia="Calibri" w:hAnsi="Calibri"/>
      <w:b/>
      <w:bCs/>
      <w:sz w:val="27"/>
      <w:szCs w:val="27"/>
    </w:rPr>
  </w:style>
  <w:style w:type="paragraph" w:styleId="Heading2">
    <w:name w:val="Heading 2"/>
    <w:basedOn w:val="Normal"/>
    <w:next w:val="Normal"/>
    <w:qFormat/>
    <w:pPr>
      <w:spacing w:after="70" w:before="170"/>
      <w:outlineLvl w:val="1"/>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2026-10-06T18:03:56.511Z</dcterms:created>
  <dcterms:modified xsi:type="dcterms:W3CDTF">2026-10-06T18:03:56.512Z</dcterms:modified>
</cp:coreProperties>
</file>

<file path=docProps/custom.xml><?xml version="1.0" encoding="utf-8"?>
<Properties xmlns="http://schemas.openxmlformats.org/officeDocument/2006/custom-properties" xmlns:vt="http://schemas.openxmlformats.org/officeDocument/2006/docPropsVTypes"/>
</file>