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Statistical Analysis with All Studies on One Level</w:t>
      </w:r>
    </w:p>
    <w:p>
      <w:pPr>
        <w:spacing w:after="140"/>
      </w:pPr>
      <w:r>
        <w:rPr>
          <w:rFonts w:ascii="Calibri" w:cs="Calibri" w:eastAsia="Calibri" w:hAnsi="Calibri"/>
          <w:color w:val="6B6B62"/>
          <w:sz w:val="21"/>
          <w:szCs w:val="21"/>
        </w:rPr>
        <w:t xml:space="preserve">Every study standardised (within-study z-scores), then pooled and tested over the 38-risk library. Computed by scripts/stats_standardised.py; the Standardised sheet of RII_Masonry_Literature.xlsx reproduces the pooled z-scores and ranks with live formulas.</w:t>
      </w:r>
    </w:p>
    <w:p>
      <w:pPr>
        <w:pStyle w:val="Heading1"/>
        <w:spacing w:after="110" w:before="300"/>
      </w:pPr>
      <w:r>
        <w:rPr>
          <w:rFonts w:ascii="Calibri" w:cs="Calibri" w:eastAsia="Calibri" w:hAnsi="Calibri"/>
          <w:b/>
          <w:bCs/>
          <w:sz w:val="27"/>
          <w:szCs w:val="27"/>
        </w:rPr>
        <w:t xml:space="preserve">1. Why the studies must be brought to one level</w:t>
      </w:r>
    </w:p>
    <w:p>
      <w:pPr>
        <w:spacing w:after="90"/>
      </w:pPr>
      <w:r>
        <w:rPr>
          <w:rFonts w:ascii="Calibri" w:cs="Calibri" w:eastAsia="Calibri" w:hAnsi="Calibri"/>
          <w:sz w:val="21"/>
          <w:szCs w:val="21"/>
        </w:rPr>
        <w:t xml:space="preserve">A raw RII depends on the rating scale (1 to 4 gives lower values than 1 to 5), on who answered and on how many factors were rated. Averaging raw RII from different studies therefore mixes unlike numbers.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300"/>
        <w:gridCol w:w="1300"/>
        <w:gridCol w:w="3766"/>
      </w:tblGrid>
      <w:tr>
        <w:trPr>
          <w:tblHeader/>
        </w:trPr>
        <w:tc>
          <w:tcPr>
            <w:tcW w:type="dxa" w:w="24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Study</w:t>
            </w:r>
          </w:p>
        </w:tc>
        <w:tc>
          <w:tcPr>
            <w:tcW w:type="dxa" w:w="17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Mean RII of its factors</w:t>
            </w:r>
          </w:p>
        </w:tc>
        <w:tc>
          <w:tcPr>
            <w:tcW w:type="dxa" w:w="1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SD</w:t>
            </w:r>
          </w:p>
        </w:tc>
        <w:tc>
          <w:tcPr>
            <w:tcW w:type="dxa" w:w="1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Factors</w:t>
            </w:r>
          </w:p>
        </w:tc>
        <w:tc>
          <w:tcPr>
            <w:tcW w:type="dxa" w:w="37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Comment</w:t>
            </w:r>
          </w:p>
        </w:tc>
      </w:tr>
      <w:tr>
        <w:tc>
          <w:tcPr>
            <w:tcW w:type="dxa" w:w="24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M14 (Indonesia, workers)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0.587</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0.107</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w:t>
            </w:r>
          </w:p>
        </w:tc>
        <w:tc>
          <w:tcPr>
            <w:tcW w:type="dxa" w:w="37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 to 4 scale: low level, wide spread</w:t>
            </w:r>
          </w:p>
        </w:tc>
      </w:tr>
      <w:tr>
        <w:tc>
          <w:tcPr>
            <w:tcW w:type="dxa" w:w="24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M15 (Brazil, managers)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0.593</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0.109</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c>
          <w:tcPr>
            <w:tcW w:type="dxa" w:w="37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 to 4 scale: low level, wide spread</w:t>
            </w:r>
          </w:p>
        </w:tc>
      </w:tr>
      <w:tr>
        <w:tc>
          <w:tcPr>
            <w:tcW w:type="dxa" w:w="24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M10 (Middle East meta-analysis)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0.706</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0.078</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w:t>
            </w:r>
          </w:p>
        </w:tc>
        <w:tc>
          <w:tcPr>
            <w:tcW w:type="dxa" w:w="37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pooled RII</w:t>
            </w:r>
          </w:p>
        </w:tc>
      </w:tr>
      <w:tr>
        <w:tc>
          <w:tcPr>
            <w:tcW w:type="dxa" w:w="24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M06 (India, N = 201)</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0.723</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0.050</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40</w:t>
            </w:r>
          </w:p>
        </w:tc>
        <w:tc>
          <w:tcPr>
            <w:tcW w:type="dxa" w:w="37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 to 5 scale</w:t>
            </w:r>
          </w:p>
        </w:tc>
      </w:tr>
      <w:tr>
        <w:tc>
          <w:tcPr>
            <w:tcW w:type="dxa" w:w="24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M01 (India, masonry site)</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0.748</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0.027</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c>
          <w:tcPr>
            <w:tcW w:type="dxa" w:w="37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 to 5 scale; only factors with RII above 0.7 are listed</w:t>
            </w:r>
          </w:p>
        </w:tc>
      </w:tr>
    </w:tbl>
    <w:p>
      <w:pPr>
        <w:spacing w:after="90"/>
      </w:pPr>
      <w:r>
        <w:rPr>
          <w:rFonts w:ascii="Calibri" w:cs="Calibri" w:eastAsia="Calibri" w:hAnsi="Calibri"/>
          <w:sz w:val="21"/>
          <w:szCs w:val="21"/>
        </w:rPr>
        <w:t xml:space="preserve">The study means differ by 0.16 (0.59 to 0.75) and the spreads by a factor of four. Standardising puts every study at mean 0 and SD 1 over its own factors:</w:t>
      </w:r>
    </w:p>
    <w:p>
      <w:pPr>
        <w:shd w:fill="F1F1E8" w:color="auto" w:val="clear"/>
        <w:spacing w:after="70"/>
        <w:ind w:left="360"/>
      </w:pPr>
      <w:r>
        <w:rPr>
          <w:rFonts w:ascii="Consolas" w:cs="Consolas" w:eastAsia="Consolas" w:hAnsi="Consolas"/>
          <w:sz w:val="20"/>
          <w:szCs w:val="20"/>
        </w:rPr>
        <w:t xml:space="preserve">z = (RII of the factor − mean RII of the study's factors) / SD of the study's factors</w:t>
      </w:r>
    </w:p>
    <w:p>
      <w:pPr>
        <w:spacing w:after="90"/>
      </w:pPr>
      <w:r>
        <w:rPr>
          <w:rFonts w:ascii="Calibri" w:cs="Calibri" w:eastAsia="Calibri" w:hAnsi="Calibri"/>
          <w:sz w:val="21"/>
          <w:szCs w:val="21"/>
        </w:rPr>
        <w:t xml:space="preserve">A risk's score in a study is the mean z of its Direct factors. A risk's pooled score is the mean over the studies that cover it; k is the number of those studies.</w:t>
      </w:r>
    </w:p>
    <w:p>
      <w:pPr>
        <w:pStyle w:val="Heading1"/>
        <w:spacing w:after="110" w:before="300"/>
      </w:pPr>
      <w:r>
        <w:rPr>
          <w:rFonts w:ascii="Calibri" w:cs="Calibri" w:eastAsia="Calibri" w:hAnsi="Calibri"/>
          <w:b/>
          <w:bCs/>
          <w:sz w:val="27"/>
          <w:szCs w:val="27"/>
        </w:rPr>
        <w:t xml:space="preserve">2. Which studies could be standardised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4266"/>
      </w:tblGrid>
      <w:tr>
        <w:trPr>
          <w:tblHeader/>
        </w:trPr>
        <w:tc>
          <w:tcPr>
            <w:tcW w:type="dxa" w:w="3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Treatment</w:t>
            </w:r>
          </w:p>
        </w:tc>
        <w:tc>
          <w:tcPr>
            <w:tcW w:type="dxa" w:w="3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Studies</w:t>
            </w:r>
          </w:p>
        </w:tc>
        <w:tc>
          <w:tcPr>
            <w:tcW w:type="dxa" w:w="42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Reason</w:t>
            </w:r>
          </w:p>
        </w:tc>
      </w:tr>
      <w:tr>
        <w:tc>
          <w:tcPr>
            <w:tcW w:type="dxa" w:w="3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Complete list: Analysis A</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M06, M10, M14, M15</w:t>
            </w:r>
          </w:p>
        </w:tc>
        <w:tc>
          <w:tcPr>
            <w:tcW w:type="dxa" w:w="42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The full factor list is printed, so mean and SD describe the whole study.</w:t>
            </w:r>
          </w:p>
        </w:tc>
      </w:tr>
      <w:tr>
        <w:tc>
          <w:tcPr>
            <w:tcW w:type="dxa" w:w="3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Truncated list: added in Analysis B, flagged</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M01</w:t>
            </w:r>
          </w:p>
        </w:tc>
        <w:tc>
          <w:tcPr>
            <w:tcW w:type="dxa" w:w="42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Only the 28 factors with RII above 0.7 (of 38) are listed; the lowest are missing, so its z-scores are distorted. It is the key masonry study, so it is shown as a sensitivity run, not hidden.</w:t>
            </w:r>
          </w:p>
        </w:tc>
      </w:tr>
      <w:tr>
        <w:tc>
          <w:tcPr>
            <w:tcW w:type="dxa" w:w="3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Partial: not standardised</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A02, A14, A15, A10, A21, Hassoon 2025</w:t>
            </w:r>
          </w:p>
        </w:tc>
        <w:tc>
          <w:tcPr>
            <w:tcW w:type="dxa" w:w="42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Only some or the top-ranked factors are recorded; z-scores would be biased.</w:t>
            </w:r>
          </w:p>
        </w:tc>
      </w:tr>
    </w:tbl>
    <w:p>
      <w:pPr>
        <w:spacing w:after="90"/>
      </w:pPr>
      <w:r>
        <w:rPr>
          <w:rFonts w:ascii="Calibri" w:cs="Calibri" w:eastAsia="Calibri" w:hAnsi="Calibri"/>
          <w:i/>
          <w:iCs/>
          <w:color w:val="6B6B62"/>
          <w:sz w:val="21"/>
          <w:szCs w:val="21"/>
        </w:rPr>
        <w:t xml:space="preserve">This excludes A02, A14 and A15, three of the five seed studies. The standardised analysis is therefore a different evidence base from the seed, not a re-run of it.</w:t>
      </w:r>
    </w:p>
    <w:p>
      <w:pPr>
        <w:pStyle w:val="Heading1"/>
        <w:spacing w:after="110" w:before="300"/>
      </w:pPr>
      <w:r>
        <w:rPr>
          <w:rFonts w:ascii="Calibri" w:cs="Calibri" w:eastAsia="Calibri" w:hAnsi="Calibri"/>
          <w:b/>
          <w:bCs/>
          <w:sz w:val="27"/>
          <w:szCs w:val="27"/>
        </w:rPr>
        <w:t xml:space="preserve">3. Results</w:t>
      </w:r>
    </w:p>
    <w:p>
      <w:pPr>
        <w:spacing w:after="90"/>
      </w:pPr>
      <w:r>
        <w:rPr>
          <w:rFonts w:ascii="Calibri" w:cs="Calibri" w:eastAsia="Calibri" w:hAnsi="Calibri"/>
          <w:sz w:val="21"/>
          <w:szCs w:val="21"/>
        </w:rPr>
        <w:t xml:space="preserve">The library has 38 risks. Analysis A pools 34 of them (no complete-list study covers R-DIS, R-PRC, R-WAT, R-FIN); Analysis B pools 35. Many pooled scores rest on one study (k = 1: 14 risks in A, 13 in B), which cannot be judged statistically and is flagged in the tables.</w:t>
      </w:r>
    </w:p>
    <w:p>
      <w:pPr>
        <w:pStyle w:val="Heading1"/>
        <w:spacing w:after="110" w:before="300"/>
      </w:pPr>
      <w:r>
        <w:rPr>
          <w:rFonts w:ascii="Calibri" w:cs="Calibri" w:eastAsia="Calibri" w:hAnsi="Calibri"/>
          <w:b/>
          <w:bCs/>
          <w:sz w:val="27"/>
          <w:szCs w:val="27"/>
        </w:rPr>
        <w:t xml:space="preserve">3.1 Analysis A: four complete studies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50"/>
        <w:gridCol w:w="2750"/>
        <w:gridCol w:w="450"/>
        <w:gridCol w:w="900"/>
        <w:gridCol w:w="1050"/>
        <w:gridCol w:w="1750"/>
        <w:gridCol w:w="600"/>
        <w:gridCol w:w="2016"/>
      </w:tblGrid>
      <w:tr>
        <w:trPr>
          <w:tblHeader/>
        </w:trPr>
        <w:tc>
          <w:tcPr>
            <w:tcW w:type="dxa" w:w="9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w:t>
            </w:r>
          </w:p>
        </w:tc>
        <w:tc>
          <w:tcPr>
            <w:tcW w:type="dxa" w:w="27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Name</w:t>
            </w:r>
          </w:p>
        </w:tc>
        <w:tc>
          <w:tcPr>
            <w:tcW w:type="dxa" w:w="4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k</w:t>
            </w:r>
          </w:p>
        </w:tc>
        <w:tc>
          <w:tcPr>
            <w:tcW w:type="dxa" w:w="9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Pooled z</w:t>
            </w:r>
          </w:p>
        </w:tc>
        <w:tc>
          <w:tcPr>
            <w:tcW w:type="dxa" w:w="10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SD (between studies)</w:t>
            </w:r>
          </w:p>
        </w:tc>
        <w:tc>
          <w:tcPr>
            <w:tcW w:type="dxa" w:w="17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95% CI of pooled z</w:t>
            </w:r>
          </w:p>
        </w:tc>
        <w:tc>
          <w:tcPr>
            <w:tcW w:type="dxa" w:w="6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Rank</w:t>
            </w:r>
          </w:p>
        </w:tc>
        <w:tc>
          <w:tcPr>
            <w:tcW w:type="dxa" w:w="201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Bootstrap rank 95% (1 to N scale)</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R-SUP</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supervision or monitoring of workers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0.11</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5.7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R-PRD</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Low labour productivity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1.25</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4.1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R-RWK</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Rework due to workmanship or defects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0.37</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0.15 to 1.98</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7.9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R-DES</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Design changes or incomplete documentation</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0.20</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0.51 to 1.52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 to 8.9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R-INC</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wages or incentives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11.2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R-SITE</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access, clearance or conditions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 to 8.1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R-PAY</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Payment delay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0.32</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0.12 to 1.71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4.2 to 12.4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R-SCP</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Unclear scope or inadequate project formulation</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6.3 to 10.4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R-SUB</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Subcontracting and contract-type problems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8.5 to 14.2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R-SKILL</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Unskilled or unqualified labour</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0.58</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1.01</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-1.94 to 3.10</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 to 22.1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R-STR</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strikes or disputes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10.6 to 15.5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R-FAT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Worker fatigue, age or personal problems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0.46</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0.34</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10.4 to 17.0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R-CTR</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Contractual disputes and claims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11.6 to 16.8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R-PLAN</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planning or unrealistic scheduling</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0.80</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-1.25 to 1.30</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12.0 to 24.6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R-MGT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management and coordination</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0.96</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9.5 to 27.7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R-MAT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Brick / block / mortar material shortage or late delivery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-2.08 to 2.02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6.7 to 24.8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R-CST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Cost control and budget updating problems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17.0 to 20.3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R-GOV</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Government policies or approvals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16.3 to 21.2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R-ECO</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Economic conditions, inflation or interest rates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3.8 to 31.4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R-TOOL</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Tools and equipment delay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1.20</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-3.21 to 2.76</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8.9 to 32.4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R-QLT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Inspection and quality-approval delays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18.7 to 24.9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R-STO</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material storage or handling</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19.9 to 27.2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R-OVT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Overtime and long working hours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0.42</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17.5 to 26.0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R-WX</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Rain / monsoon stoppage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-0.45</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0.90</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-1.89 to 0.99</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13.4 to 30.6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R-MOT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Low motivation, morale or labour turnover</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-0.58</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0.87</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17.0 to 30.9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R-LAB</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absenteeism or shortage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24.6 to 30.6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R-COM</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communication or misunderstanding on site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0.30</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-1.35 to 0.12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21.4 to 29.4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R-MTH</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Construction method or design complexity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-0.88</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0.44</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-1.98 to 0.22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24.9 to 30.9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R-DEF</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Defective or poor-quality material</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24.6 to 31.5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R-ACC</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Accidents and injuries on site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29.3 to 32.7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R-SAFE</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Unsafe conditions or work at height</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-1.18</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28.1 to 31.6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R-CLI</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Client decision delay or pressure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31.9 to 34.0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R-SOC</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Social or community environment</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32.9 to 34.0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R-TRN</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training of workers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-3.15</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34.0 to 34.0</w:t>
            </w:r>
          </w:p>
        </w:tc>
      </w:tr>
    </w:tbl>
    <w:p>
      <w:pPr>
        <w:pStyle w:val="Heading1"/>
        <w:spacing w:after="110" w:before="300"/>
      </w:pPr>
      <w:r>
        <w:rPr>
          <w:rFonts w:ascii="Calibri" w:cs="Calibri" w:eastAsia="Calibri" w:hAnsi="Calibri"/>
          <w:b/>
          <w:bCs/>
          <w:sz w:val="27"/>
          <w:szCs w:val="27"/>
        </w:rPr>
        <w:t xml:space="preserve">3.2 Analysis B: A plus M01 (truncated, flagged)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50"/>
        <w:gridCol w:w="2750"/>
        <w:gridCol w:w="450"/>
        <w:gridCol w:w="900"/>
        <w:gridCol w:w="1050"/>
        <w:gridCol w:w="1750"/>
        <w:gridCol w:w="600"/>
        <w:gridCol w:w="2016"/>
      </w:tblGrid>
      <w:tr>
        <w:trPr>
          <w:tblHeader/>
        </w:trPr>
        <w:tc>
          <w:tcPr>
            <w:tcW w:type="dxa" w:w="9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w:t>
            </w:r>
          </w:p>
        </w:tc>
        <w:tc>
          <w:tcPr>
            <w:tcW w:type="dxa" w:w="27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Name</w:t>
            </w:r>
          </w:p>
        </w:tc>
        <w:tc>
          <w:tcPr>
            <w:tcW w:type="dxa" w:w="4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k</w:t>
            </w:r>
          </w:p>
        </w:tc>
        <w:tc>
          <w:tcPr>
            <w:tcW w:type="dxa" w:w="9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Pooled z</w:t>
            </w:r>
          </w:p>
        </w:tc>
        <w:tc>
          <w:tcPr>
            <w:tcW w:type="dxa" w:w="10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SD (between studies)</w:t>
            </w:r>
          </w:p>
        </w:tc>
        <w:tc>
          <w:tcPr>
            <w:tcW w:type="dxa" w:w="175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95% CI of pooled z</w:t>
            </w:r>
          </w:p>
        </w:tc>
        <w:tc>
          <w:tcPr>
            <w:tcW w:type="dxa" w:w="6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Rank</w:t>
            </w:r>
          </w:p>
        </w:tc>
        <w:tc>
          <w:tcPr>
            <w:tcW w:type="dxa" w:w="201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Bootstrap rank 95% (1 to N scale)</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R-PRD</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Low labour productivity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1.25</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3.4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R-SITE</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access, clearance or conditions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8.3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R-PAY</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Payment delay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0.26</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0.49 to 1.33</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9.5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R-SUP</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supervision or monitoring of workers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0.86</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-1.30 to 2.96</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21.1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R-SCP</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Unclear scope or inadequate project formulation</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 to 10.5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R-INC</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wages or incentives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0.58</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 to 2.15</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6</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16.1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R-SUB</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Subcontracting and contract-type problems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7</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4.5 to 12.3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R-RWK</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Rework due to workmanship or defects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0.81</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 to 1.99</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20.4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R-DES</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Design changes or incomplete documentation</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0.82</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-0.69 to 1.92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 to 23.1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R-SKILL</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Unskilled or unqualified labour</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-0.80 to 1.86</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 to 24.1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R-STR</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strikes or disputes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8.4 to 14.4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R-FAT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Worker fatigue, age or personal problems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0.46</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0.34</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5.3 to 17.4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R-PLAN</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planning or unrealistic scheduling</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0.97</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-0.88 to 1.54</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 to 22.9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R-CTR</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Contractual disputes and claims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0.32</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10.6 to 17.2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R-MAT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Brick / block / mortar material shortage or late delivery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0.24</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0.86</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-1.14 to 1.61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3.2 to 22.9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R-SAFE</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Unsafe conditions or work at height</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1.82</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 to 32.6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R-DIS</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labour discipline or weak site leadership</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0.06</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15.1 to 20.4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R-CST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Cost control and budget updating problems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16.4 to 22.9</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R-GOV</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Government policies or approvals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15.6 to 22.3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R-ECO</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Economic conditions, inflation or interest rates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 to 32.6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R-TOOL</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Tools and equipment delay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0.98</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-1.76 to 1.37</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9.2 to 31.2</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R-WX</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Rain / monsoon stoppage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5</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-0.24</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0.91</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-1.37 to 0.88</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10.2 to 28.8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R-QLT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Inspection and quality-approval delays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19.2 to 25.1</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R-STO</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material storage or handling</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21.6 to 27.3</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R-MGT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site management and coordination</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-0.47</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1.07</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-3.13 to 2.19</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9.8 to 33.4</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R-MOT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Low motivation, morale or labour turnover</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0.62</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-2.07 to 1.00</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18.0 to 30.8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R-OVT</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Overtime and long working hours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-0.56</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0.38</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-1.51 to 0.38</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18.0 to 29.5</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R-ACC</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Accidents and injuries on site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0.88</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-2.79 to 1.58</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13.1 to 32.8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R-COM</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Poor communication or misunderstanding on site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-0.61</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0.30</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-1.35 to 0.12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29</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22.9 to 30.6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R-LAB</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Labour absenteeism or shortage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-0.75</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0.23</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meaningful (k=2)</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25.3 to 31.7</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R-DEF</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Defective or poor-quality material</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-0.99</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26.5 to 32.6</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R-MTH</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Construction method or design complexity</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4</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0.57</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-2.00 to -0.19</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32</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26.5 to 33.8</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R-CLI</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Client decision delay or pressure</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-1.63</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32.8 to 35.0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R-SOC</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Social or community environment</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-2.60</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33.9 to 35.0</w:t>
            </w:r>
          </w:p>
        </w:tc>
      </w:tr>
      <w:tr>
        <w:tc>
          <w:tcPr>
            <w:tcW w:type="dxa" w:w="9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R-TRN</w:t>
            </w:r>
          </w:p>
        </w:tc>
        <w:tc>
          <w:tcPr>
            <w:tcW w:type="dxa" w:w="2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Inadequate training of workers</w:t>
            </w:r>
          </w:p>
        </w:tc>
        <w:tc>
          <w:tcPr>
            <w:tcW w:type="dxa" w:w="4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w:t>
            </w:r>
          </w:p>
        </w:tc>
        <w:tc>
          <w:tcPr>
            <w:tcW w:type="dxa" w:w="9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-3.15</w:t>
            </w:r>
          </w:p>
        </w:tc>
        <w:tc>
          <w:tcPr>
            <w:tcW w:type="dxa" w:w="10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w:t>
            </w:r>
          </w:p>
        </w:tc>
        <w:tc>
          <w:tcPr>
            <w:tcW w:type="dxa" w:w="175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n/a (k=1)</w:t>
            </w:r>
          </w:p>
        </w:tc>
        <w:tc>
          <w:tcPr>
            <w:tcW w:type="dxa" w:w="6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35</w:t>
            </w:r>
          </w:p>
        </w:tc>
        <w:tc>
          <w:tcPr>
            <w:tcW w:type="dxa" w:w="201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35.0 to 35.0</w:t>
            </w:r>
          </w:p>
        </w:tc>
      </w:tr>
    </w:tbl>
    <w:p>
      <w:pPr>
        <w:spacing w:after="90"/>
      </w:pPr>
      <w:r>
        <w:rPr>
          <w:rFonts w:ascii="Calibri" w:cs="Calibri" w:eastAsia="Calibri" w:hAnsi="Calibri"/>
          <w:i/>
          <w:iCs/>
          <w:color w:val="6B6B62"/>
          <w:sz w:val="21"/>
          <w:szCs w:val="21"/>
        </w:rPr>
        <w:t xml:space="preserve">Bootstrap intervals resample the studies; for each resample the risks present are ranked and scaled to 1 to N, and a risk is counted only when a resampled study covers it.</w:t>
      </w:r>
    </w:p>
    <w:p>
      <w:pPr>
        <w:pStyle w:val="Heading1"/>
        <w:spacing w:after="110" w:before="300"/>
      </w:pPr>
      <w:r>
        <w:rPr>
          <w:rFonts w:ascii="Calibri" w:cs="Calibri" w:eastAsia="Calibri" w:hAnsi="Calibri"/>
          <w:b/>
          <w:bCs/>
          <w:sz w:val="27"/>
          <w:szCs w:val="27"/>
        </w:rPr>
        <w:t xml:space="preserve">4. Tests</w:t>
      </w:r>
    </w:p>
    <w:p>
      <w:pPr>
        <w:pStyle w:val="Heading1"/>
        <w:spacing w:after="110" w:before="300"/>
      </w:pPr>
      <w:r>
        <w:rPr>
          <w:rFonts w:ascii="Calibri" w:cs="Calibri" w:eastAsia="Calibri" w:hAnsi="Calibri"/>
          <w:b/>
          <w:bCs/>
          <w:sz w:val="27"/>
          <w:szCs w:val="27"/>
        </w:rPr>
        <w:t xml:space="preserve">4.1 Do the risks differ after standardisation?</w:t>
      </w:r>
    </w:p>
    <w:p>
      <w:pPr>
        <w:spacing w:after="90"/>
      </w:pPr>
      <w:r>
        <w:rPr>
          <w:rFonts w:ascii="Calibri" w:cs="Calibri" w:eastAsia="Calibri" w:hAnsi="Calibri"/>
          <w:sz w:val="21"/>
          <w:szCs w:val="21"/>
        </w:rPr>
        <w:t xml:space="preserve">Additive two-way model on the standardised scores, z = risk effect + study effect (unbalanced), F-test for the risk effect, with a permutation check (risk labels shuffled within each study) and a robustness run that keeps only risks covered by at least two studies.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000"/>
        <w:gridCol w:w="1200"/>
        <w:gridCol w:w="1100"/>
        <w:gridCol w:w="3166"/>
      </w:tblGrid>
      <w:tr>
        <w:trPr>
          <w:tblHeader/>
        </w:trPr>
        <w:tc>
          <w:tcPr>
            <w:tcW w:type="dxa" w:w="2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Analysis</w:t>
            </w:r>
          </w:p>
        </w:tc>
        <w:tc>
          <w:tcPr>
            <w:tcW w:type="dxa" w:w="17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F (df)</w:t>
            </w:r>
          </w:p>
        </w:tc>
        <w:tc>
          <w:tcPr>
            <w:tcW w:type="dxa" w:w="1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 (F)</w:t>
            </w:r>
          </w:p>
        </w:tc>
        <w:tc>
          <w:tcPr>
            <w:tcW w:type="dxa" w:w="1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 (permutation)</w:t>
            </w:r>
          </w:p>
        </w:tc>
        <w:tc>
          <w:tcPr>
            <w:tcW w:type="dxa" w:w="11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Adjusted R²</w:t>
            </w:r>
          </w:p>
        </w:tc>
        <w:tc>
          <w:tcPr>
            <w:tcW w:type="dxa" w:w="31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Result</w:t>
            </w:r>
          </w:p>
        </w:tc>
      </w:tr>
      <w:tr>
        <w:tc>
          <w:tcPr>
            <w:tcW w:type="dxa" w:w="2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 all (66 cells)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3.05 (33, 29)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0.002</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0.002</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0.50</w:t>
            </w:r>
          </w:p>
        </w:tc>
        <w:tc>
          <w:tcPr>
            <w:tcW w:type="dxa" w:w="3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Risks differ</w:t>
            </w:r>
          </w:p>
        </w:tc>
      </w:tr>
      <w:tr>
        <w:tc>
          <w:tcPr>
            <w:tcW w:type="dxa" w:w="2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A, risks with 2+ studies (20 risks, 52 cells)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2.42 (19, 29)</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0.015</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0.35</w:t>
            </w:r>
          </w:p>
        </w:tc>
        <w:tc>
          <w:tcPr>
            <w:tcW w:type="dxa" w:w="3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Still significant</w:t>
            </w:r>
          </w:p>
        </w:tc>
      </w:tr>
      <w:tr>
        <w:tc>
          <w:tcPr>
            <w:tcW w:type="dxa" w:w="2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 all (84 cells)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2.16 (34, 45)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0.008</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0.011</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0.30</w:t>
            </w:r>
          </w:p>
        </w:tc>
        <w:tc>
          <w:tcPr>
            <w:tcW w:type="dxa" w:w="3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Risks differ</w:t>
            </w:r>
          </w:p>
        </w:tc>
      </w:tr>
      <w:tr>
        <w:tc>
          <w:tcPr>
            <w:tcW w:type="dxa" w:w="2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B, risks with 2+ studies (22 risks, 71 cells)</w:t>
            </w:r>
          </w:p>
        </w:tc>
        <w:tc>
          <w:tcPr>
            <w:tcW w:type="dxa" w:w="17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1.72 (21, 45)</w:t>
            </w:r>
          </w:p>
        </w:tc>
        <w:tc>
          <w:tcPr>
            <w:tcW w:type="dxa" w:w="1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0.064</w:t>
            </w:r>
          </w:p>
        </w:tc>
        <w:tc>
          <w:tcPr>
            <w:tcW w:type="dxa" w:w="1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0.16</w:t>
            </w:r>
          </w:p>
        </w:tc>
        <w:tc>
          <w:tcPr>
            <w:tcW w:type="dxa" w:w="31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Not significant at 5%</w:t>
            </w:r>
          </w:p>
        </w:tc>
      </w:tr>
    </w:tbl>
    <w:p>
      <w:pPr>
        <w:spacing w:after="90"/>
      </w:pPr>
      <w:r>
        <w:rPr>
          <w:rFonts w:ascii="Calibri" w:cs="Calibri" w:eastAsia="Calibri" w:hAnsi="Calibri"/>
          <w:b/>
          <w:bCs/>
          <w:sz w:val="21"/>
          <w:szCs w:val="21"/>
        </w:rPr>
        <w:t xml:space="preserve">Interpretation. </w:t>
      </w:r>
      <w:r>
        <w:rPr>
          <w:rFonts w:ascii="Calibri" w:cs="Calibri" w:eastAsia="Calibri" w:hAnsi="Calibri"/>
          <w:sz w:val="21"/>
          <w:szCs w:val="21"/>
        </w:rPr>
        <w:t xml:space="preserve">On the full 38-risk library the risks do differ (A: p = 0.002; B: p = 0.008), unlike the earlier analysis of the original ten risks, where no difference could be shown. Part of this comes from risks that the literature rates clearly low, for example social environment and inadequate training. When single-study risks are removed the effect holds in Analysis A (p = 0.015) but not in Analysis B (p = 0.064), so it is only partly robust. The data separate the clearly important from the clearly unimportant factors better than they order the important ones among themselves.</w:t>
      </w:r>
    </w:p>
    <w:p>
      <w:pPr>
        <w:pStyle w:val="Heading1"/>
        <w:spacing w:after="110" w:before="300"/>
      </w:pPr>
      <w:r>
        <w:rPr>
          <w:rFonts w:ascii="Calibri" w:cs="Calibri" w:eastAsia="Calibri" w:hAnsi="Calibri"/>
          <w:b/>
          <w:bCs/>
          <w:sz w:val="27"/>
          <w:szCs w:val="27"/>
        </w:rPr>
        <w:t xml:space="preserve">4.2 Can the other studies predict a held-out study? (common scale)</w:t>
      </w:r>
    </w:p>
    <w:p>
      <w:pPr>
        <w:spacing w:after="90"/>
      </w:pPr>
      <w:r>
        <w:rPr>
          <w:rFonts w:ascii="Calibri" w:cs="Calibri" w:eastAsia="Calibri" w:hAnsi="Calibri"/>
          <w:sz w:val="21"/>
          <w:szCs w:val="21"/>
        </w:rPr>
        <w:t xml:space="preserve">Analysis 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000"/>
        <w:gridCol w:w="1100"/>
        <w:gridCol w:w="2866"/>
      </w:tblGrid>
      <w:tr>
        <w:trPr>
          <w:tblHeader/>
        </w:trPr>
        <w:tc>
          <w:tcPr>
            <w:tcW w:type="dxa" w:w="2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Study held out</w:t>
            </w:r>
          </w:p>
        </w:tc>
        <w:tc>
          <w:tcPr>
            <w:tcW w:type="dxa" w:w="1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Risks compared</w:t>
            </w:r>
          </w:p>
        </w:tc>
        <w:tc>
          <w:tcPr>
            <w:tcW w:type="dxa" w:w="3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Spearman ρ (pooled z of the other studies vs the held-out study)</w:t>
            </w:r>
          </w:p>
        </w:tc>
        <w:tc>
          <w:tcPr>
            <w:tcW w:type="dxa" w:w="11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w:t>
            </w:r>
          </w:p>
        </w:tc>
        <w:tc>
          <w:tcPr>
            <w:tcW w:type="dxa" w:w="28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Reading</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M06</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0.35</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0.328</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weak agreement</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M10</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18</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0.53</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0.022</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significant at 5%</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M14</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13</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0.42</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0.156</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weak agreement</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M15</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0.56</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0.071</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moderate agreement, not significant</w:t>
            </w:r>
          </w:p>
        </w:tc>
      </w:tr>
    </w:tbl>
    <w:p>
      <w:pPr>
        <w:spacing w:after="90"/>
      </w:pPr>
      <w:r>
        <w:rPr>
          <w:rFonts w:ascii="Calibri" w:cs="Calibri" w:eastAsia="Calibri" w:hAnsi="Calibri"/>
          <w:sz w:val="21"/>
          <w:szCs w:val="21"/>
        </w:rPr>
        <w:t xml:space="preserve">Analysis B:</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000"/>
        <w:gridCol w:w="1100"/>
        <w:gridCol w:w="2866"/>
      </w:tblGrid>
      <w:tr>
        <w:trPr>
          <w:tblHeader/>
        </w:trPr>
        <w:tc>
          <w:tcPr>
            <w:tcW w:type="dxa" w:w="22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Study held out</w:t>
            </w:r>
          </w:p>
        </w:tc>
        <w:tc>
          <w:tcPr>
            <w:tcW w:type="dxa" w:w="13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Risks compared</w:t>
            </w:r>
          </w:p>
        </w:tc>
        <w:tc>
          <w:tcPr>
            <w:tcW w:type="dxa" w:w="3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Spearman ρ (pooled z of the other studies vs the held-out study)</w:t>
            </w:r>
          </w:p>
        </w:tc>
        <w:tc>
          <w:tcPr>
            <w:tcW w:type="dxa" w:w="11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w:t>
            </w:r>
          </w:p>
        </w:tc>
        <w:tc>
          <w:tcPr>
            <w:tcW w:type="dxa" w:w="28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Reading</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M06</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10</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0.31</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0.385</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weak agreement</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M10</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19</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0.48</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0.038</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significant at 5%</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M14</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14</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0.02</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0.935</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 agreement</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M15</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11</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0.73</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0.011</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significant at 5%</w:t>
            </w:r>
          </w:p>
        </w:tc>
      </w:tr>
      <w:tr>
        <w:tc>
          <w:tcPr>
            <w:tcW w:type="dxa" w:w="22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M01</w:t>
            </w:r>
          </w:p>
        </w:tc>
        <w:tc>
          <w:tcPr>
            <w:tcW w:type="dxa" w:w="13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17</w:t>
            </w:r>
          </w:p>
        </w:tc>
        <w:tc>
          <w:tcPr>
            <w:tcW w:type="dxa" w:w="3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0.01</w:t>
            </w:r>
          </w:p>
        </w:tc>
        <w:tc>
          <w:tcPr>
            <w:tcW w:type="dxa" w:w="11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0.966</w:t>
            </w:r>
          </w:p>
        </w:tc>
        <w:tc>
          <w:tcPr>
            <w:tcW w:type="dxa" w:w="28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no agreement</w:t>
            </w:r>
          </w:p>
        </w:tc>
      </w:tr>
    </w:tbl>
    <w:p>
      <w:pPr>
        <w:spacing w:after="90"/>
      </w:pPr>
      <w:r>
        <w:rPr>
          <w:rFonts w:ascii="Calibri" w:cs="Calibri" w:eastAsia="Calibri" w:hAnsi="Calibri"/>
          <w:sz w:val="21"/>
          <w:szCs w:val="21"/>
        </w:rPr>
        <w:t xml:space="preserve">The best predictions are for M10 (A: ρ = 0.53, p = 0.022; B: ρ = 0.48, p = 0.038) and, in B, M15 (ρ = 0.73, p = 0.011). M01 held out in B is not predicted at all (ρ = 0.01), and M14 (workers) is predicted weakly. With nine such tests in total, a few p-values below 0.05 are expected by chance, and none would survive a Bonferroni correction (threshold about 0.006), so treat these as moderate, suggestive agreement.</w:t>
      </w:r>
    </w:p>
    <w:p>
      <w:pPr>
        <w:pStyle w:val="Heading1"/>
        <w:spacing w:after="110" w:before="300"/>
      </w:pPr>
      <w:r>
        <w:rPr>
          <w:rFonts w:ascii="Calibri" w:cs="Calibri" w:eastAsia="Calibri" w:hAnsi="Calibri"/>
          <w:b/>
          <w:bCs/>
          <w:sz w:val="27"/>
          <w:szCs w:val="27"/>
        </w:rPr>
        <w:t xml:space="preserve">4.3 Agreement with the seed order and effect of standardising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1500"/>
        <w:gridCol w:w="2466"/>
      </w:tblGrid>
      <w:tr>
        <w:trPr>
          <w:tblHeader/>
        </w:trPr>
        <w:tc>
          <w:tcPr>
            <w:tcW w:type="dxa" w:w="50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Comparison</w:t>
            </w:r>
          </w:p>
        </w:tc>
        <w:tc>
          <w:tcPr>
            <w:tcW w:type="dxa" w:w="15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Spearman ρ</w:t>
            </w:r>
          </w:p>
        </w:tc>
        <w:tc>
          <w:tcPr>
            <w:tcW w:type="dxa" w:w="1500"/>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p</w:t>
            </w:r>
          </w:p>
        </w:tc>
        <w:tc>
          <w:tcPr>
            <w:tcW w:type="dxa" w:w="2466"/>
            <w:tcBorders>
              <w:top w:val="single" w:color="8C8C84" w:sz="4"/>
              <w:left w:val="single" w:color="8C8C84" w:sz="4"/>
              <w:bottom w:val="single" w:color="8C8C84" w:sz="4"/>
              <w:right w:val="single" w:color="8C8C84" w:sz="4"/>
            </w:tcBorders>
            <w:shd w:fill="E3E3D8" w:color="auto" w:val="clear"/>
            <w:tcMar>
              <w:top w:type="dxa" w:w="45"/>
              <w:left w:type="dxa" w:w="80"/>
              <w:bottom w:type="dxa" w:w="45"/>
              <w:right w:type="dxa" w:w="80"/>
            </w:tcMar>
          </w:tcPr>
          <w:p>
            <w:r>
              <w:rPr>
                <w:rFonts w:ascii="Calibri" w:cs="Calibri" w:eastAsia="Calibri" w:hAnsi="Calibri"/>
                <w:b/>
                <w:bCs/>
                <w:sz w:val="18"/>
                <w:szCs w:val="18"/>
              </w:rPr>
              <w:t xml:space="preserve">n risks</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Pooled z (A) vs seed order</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0.40</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0.038</w:t>
            </w:r>
          </w:p>
        </w:tc>
        <w:tc>
          <w:tcPr>
            <w:tcW w:type="dxa" w:w="2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27</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Pooled z (B) vs seed order</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0.53</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0.004</w:t>
            </w:r>
          </w:p>
        </w:tc>
        <w:tc>
          <w:tcPr>
            <w:tcW w:type="dxa" w:w="2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28</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Pooling raw RII vs pooling z-scores, same studies (A)</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0.87</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t>
            </w:r>
          </w:p>
        </w:tc>
        <w:tc>
          <w:tcPr>
            <w:tcW w:type="dxa" w:w="2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34</w:t>
            </w:r>
          </w:p>
        </w:tc>
      </w:tr>
      <w:tr>
        <w:tc>
          <w:tcPr>
            <w:tcW w:type="dxa" w:w="50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Pooling raw RII vs pooling z-scores, same studies (B)</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0.82</w:t>
            </w:r>
          </w:p>
        </w:tc>
        <w:tc>
          <w:tcPr>
            <w:tcW w:type="dxa" w:w="1500"/>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w:t>
            </w:r>
          </w:p>
        </w:tc>
        <w:tc>
          <w:tcPr>
            <w:tcW w:type="dxa" w:w="2466"/>
            <w:tcBorders>
              <w:top w:val="single" w:color="8C8C84" w:sz="4"/>
              <w:left w:val="single" w:color="8C8C84" w:sz="4"/>
              <w:bottom w:val="single" w:color="8C8C84" w:sz="4"/>
              <w:right w:val="single" w:color="8C8C84" w:sz="4"/>
            </w:tcBorders>
            <w:tcMar>
              <w:top w:type="dxa" w:w="45"/>
              <w:left w:type="dxa" w:w="80"/>
              <w:bottom w:type="dxa" w:w="45"/>
              <w:right w:type="dxa" w:w="80"/>
            </w:tcMar>
          </w:tcPr>
          <w:p>
            <w:r>
              <w:rPr>
                <w:rFonts w:ascii="Calibri" w:cs="Calibri" w:eastAsia="Calibri" w:hAnsi="Calibri"/>
                <w:b w:val="false"/>
                <w:bCs w:val="false"/>
                <w:sz w:val="18"/>
                <w:szCs w:val="18"/>
              </w:rPr>
              <w:t xml:space="preserve">35</w:t>
            </w:r>
          </w:p>
        </w:tc>
      </w:tr>
    </w:tbl>
    <w:p>
      <w:pPr>
        <w:spacing w:after="90"/>
      </w:pPr>
      <w:r>
        <w:rPr>
          <w:rFonts w:ascii="Calibri" w:cs="Calibri" w:eastAsia="Calibri" w:hAnsi="Calibri"/>
          <w:sz w:val="21"/>
          <w:szCs w:val="21"/>
        </w:rPr>
        <w:t xml:space="preserve">On the 38-risk library the seed order is positively related to the standardised pooled order (ρ = 0.40 for A, 0.53 for B), more clearly than on the original ten risks, where it was unrelated. Part of this is expected, because M01 and M06 feed both the seed and the pooled scores (M01 in B, M06 in both). Pooling raw RII instead of z gives a different order (ρ = 0.87 and 0.82), so the scale differences still matter.</w:t>
      </w:r>
    </w:p>
    <w:p>
      <w:pPr>
        <w:pStyle w:val="Heading1"/>
        <w:spacing w:after="110" w:before="300"/>
      </w:pPr>
      <w:r>
        <w:rPr>
          <w:rFonts w:ascii="Calibri" w:cs="Calibri" w:eastAsia="Calibri" w:hAnsi="Calibri"/>
          <w:b/>
          <w:bCs/>
          <w:sz w:val="27"/>
          <w:szCs w:val="27"/>
        </w:rPr>
        <w:t xml:space="preserve">4.4 Agreement between the standardised studies</w:t>
      </w:r>
    </w:p>
    <w:p>
      <w:pPr>
        <w:spacing w:after="90"/>
      </w:pPr>
      <w:r>
        <w:rPr>
          <w:rFonts w:ascii="Calibri" w:cs="Calibri" w:eastAsia="Calibri" w:hAnsi="Calibri"/>
          <w:sz w:val="21"/>
          <w:szCs w:val="21"/>
        </w:rPr>
        <w:t xml:space="preserve">Across the 10 pairs of standardised studies sharing at least four risks, mean Spearman ρ is 0.25 (median 0.22). Rank agreement between two studies is not changed by standardisation (z keeps the order inside a study); what standardisation changes is the pooled magnitude, the confidence intervals and the model test above.</w:t>
      </w:r>
    </w:p>
    <w:p>
      <w:pPr>
        <w:pStyle w:val="Heading1"/>
        <w:spacing w:after="110" w:before="300"/>
      </w:pPr>
      <w:r>
        <w:rPr>
          <w:rFonts w:ascii="Calibri" w:cs="Calibri" w:eastAsia="Calibri" w:hAnsi="Calibri"/>
          <w:b/>
          <w:bCs/>
          <w:sz w:val="27"/>
          <w:szCs w:val="27"/>
        </w:rPr>
        <w:t xml:space="preserve">5. What this means for the project</w:t>
      </w:r>
    </w:p>
    <w:p>
      <w:pPr>
        <w:pStyle w:val="ListParagraph"/>
        <w:numPr>
          <w:ilvl w:val="0"/>
          <w:numId w:val="2"/>
        </w:numPr>
        <w:spacing w:after="50"/>
      </w:pPr>
      <w:r>
        <w:rPr>
          <w:rFonts w:ascii="Calibri" w:cs="Calibri" w:eastAsia="Calibri" w:hAnsi="Calibri"/>
          <w:b/>
          <w:bCs/>
          <w:sz w:val="21"/>
          <w:szCs w:val="21"/>
        </w:rPr>
        <w:t xml:space="preserve">Supported: </w:t>
      </w:r>
      <w:r>
        <w:rPr>
          <w:rFonts w:ascii="Calibri" w:cs="Calibri" w:eastAsia="Calibri" w:hAnsi="Calibri"/>
          <w:sz w:val="21"/>
          <w:szCs w:val="21"/>
        </w:rPr>
        <w:t xml:space="preserve">the raw-RII survey values are on different levels and cannot be pooled directly; on the common scale the literature does separate higher- from lower-rated risks (model p = 0.002 and 0.008), and the seed order is positively related to the pooled order (ρ = 0.40 and 0.53).</w:t>
      </w:r>
    </w:p>
    <w:p>
      <w:pPr>
        <w:pStyle w:val="ListParagraph"/>
        <w:numPr>
          <w:ilvl w:val="0"/>
          <w:numId w:val="2"/>
        </w:numPr>
        <w:spacing w:after="50"/>
      </w:pPr>
      <w:r>
        <w:rPr>
          <w:rFonts w:ascii="Calibri" w:cs="Calibri" w:eastAsia="Calibri" w:hAnsi="Calibri"/>
          <w:b/>
          <w:bCs/>
          <w:sz w:val="21"/>
          <w:szCs w:val="21"/>
        </w:rPr>
        <w:t xml:space="preserve">Not supported: </w:t>
      </w:r>
      <w:r>
        <w:rPr>
          <w:rFonts w:ascii="Calibri" w:cs="Calibri" w:eastAsia="Calibri" w:hAnsi="Calibri"/>
          <w:sz w:val="21"/>
          <w:szCs w:val="21"/>
        </w:rPr>
        <w:t xml:space="preserve">a firm order inside the group of important risks, and any single-study risk (k = 1) on its own. The effect weakens when single-study risks are removed.</w:t>
      </w:r>
    </w:p>
    <w:p>
      <w:pPr>
        <w:pStyle w:val="ListParagraph"/>
        <w:numPr>
          <w:ilvl w:val="0"/>
          <w:numId w:val="2"/>
        </w:numPr>
        <w:spacing w:after="50"/>
      </w:pPr>
      <w:r>
        <w:rPr>
          <w:rFonts w:ascii="Calibri" w:cs="Calibri" w:eastAsia="Calibri" w:hAnsi="Calibri"/>
          <w:b/>
          <w:bCs/>
          <w:sz w:val="21"/>
          <w:szCs w:val="21"/>
        </w:rPr>
        <w:t xml:space="preserve">Tension: </w:t>
      </w:r>
      <w:r>
        <w:rPr>
          <w:rFonts w:ascii="Calibri" w:cs="Calibri" w:eastAsia="Calibri" w:hAnsi="Calibri"/>
          <w:sz w:val="21"/>
          <w:szCs w:val="21"/>
        </w:rPr>
        <w:t xml:space="preserve">the seed uses India and Sri Lanka surveys by design; the standardised analysis uses only complete-list studies, which excludes three of the five seed studies. The two analyses answer slightly different questions, and on the larger library they now broadly agree.</w:t>
      </w:r>
    </w:p>
    <w:p>
      <w:pPr>
        <w:pStyle w:val="ListParagraph"/>
        <w:numPr>
          <w:ilvl w:val="0"/>
          <w:numId w:val="2"/>
        </w:numPr>
        <w:spacing w:after="50"/>
      </w:pPr>
      <w:r>
        <w:rPr>
          <w:rFonts w:ascii="Calibri" w:cs="Calibri" w:eastAsia="Calibri" w:hAnsi="Calibri"/>
          <w:b/>
          <w:bCs/>
          <w:sz w:val="21"/>
          <w:szCs w:val="21"/>
        </w:rPr>
        <w:t xml:space="preserve">Suggested position for the review: </w:t>
      </w:r>
      <w:r>
        <w:rPr>
          <w:rFonts w:ascii="Calibri" w:cs="Calibri" w:eastAsia="Calibri" w:hAnsi="Calibri"/>
          <w:sz w:val="21"/>
          <w:szCs w:val="21"/>
        </w:rPr>
        <w:t xml:space="preserve">the seed is a reasonable, clearly labelled starting order that the pooled, standardised literature broadly supports; the order inside the top group is uncertain; your own expert survey and site data are what will settle it.</w:t>
      </w:r>
    </w:p>
    <w:p>
      <w:pPr>
        <w:pStyle w:val="ListParagraph"/>
        <w:numPr>
          <w:ilvl w:val="0"/>
          <w:numId w:val="2"/>
        </w:numPr>
        <w:spacing w:after="50"/>
      </w:pPr>
      <w:r>
        <w:rPr>
          <w:rFonts w:ascii="Calibri" w:cs="Calibri" w:eastAsia="Calibri" w:hAnsi="Calibri"/>
          <w:b/>
          <w:bCs/>
          <w:sz w:val="21"/>
          <w:szCs w:val="21"/>
        </w:rPr>
        <w:t xml:space="preserve">Analysis done twice: </w:t>
      </w:r>
      <w:r>
        <w:rPr>
          <w:rFonts w:ascii="Calibri" w:cs="Calibri" w:eastAsia="Calibri" w:hAnsi="Calibri"/>
          <w:sz w:val="21"/>
          <w:szCs w:val="21"/>
        </w:rPr>
        <w:t xml:space="preserve">the library grew from 10 to 38 risks after a first analysis, which found no difference between the original ten risks. Report both: the original ten are all near the top of the importance scale, so they are hard to separate; the larger library adds clearly lower-rated factors, which makes separation easier.</w:t>
      </w:r>
    </w:p>
    <w:p>
      <w:pPr>
        <w:pStyle w:val="Heading1"/>
        <w:spacing w:after="110" w:before="300"/>
      </w:pPr>
      <w:r>
        <w:rPr>
          <w:rFonts w:ascii="Calibri" w:cs="Calibri" w:eastAsia="Calibri" w:hAnsi="Calibri"/>
          <w:b/>
          <w:bCs/>
          <w:sz w:val="27"/>
          <w:szCs w:val="27"/>
        </w:rPr>
        <w:t xml:space="preserve">6. Assumptions and limitations</w:t>
      </w:r>
    </w:p>
    <w:p>
      <w:pPr>
        <w:pStyle w:val="ListParagraph"/>
        <w:numPr>
          <w:ilvl w:val="0"/>
          <w:numId w:val="2"/>
        </w:numPr>
        <w:spacing w:after="50"/>
      </w:pPr>
      <w:r>
        <w:rPr>
          <w:rFonts w:ascii="Calibri" w:cs="Calibri" w:eastAsia="Calibri" w:hAnsi="Calibri"/>
          <w:sz w:val="21"/>
          <w:szCs w:val="21"/>
        </w:rPr>
        <w:t xml:space="preserve">Few studies per risk: k is 1 to 5, and 14 (A) and 13 (B) pooled risks rest on a single study; confidence intervals are wide and k = 1 cannot be judged.</w:t>
      </w:r>
    </w:p>
    <w:p>
      <w:pPr>
        <w:pStyle w:val="ListParagraph"/>
        <w:numPr>
          <w:ilvl w:val="0"/>
          <w:numId w:val="2"/>
        </w:numPr>
        <w:spacing w:after="50"/>
      </w:pPr>
      <w:r>
        <w:rPr>
          <w:rFonts w:ascii="Calibri" w:cs="Calibri" w:eastAsia="Calibri" w:hAnsi="Calibri"/>
          <w:sz w:val="21"/>
          <w:szCs w:val="21"/>
        </w:rPr>
        <w:t xml:space="preserve">Standardising assumes each study's factor list is a fair sample of its own distribution. M01's truncated list violates that; this is why it is only in Analysis B.</w:t>
      </w:r>
    </w:p>
    <w:p>
      <w:pPr>
        <w:pStyle w:val="ListParagraph"/>
        <w:numPr>
          <w:ilvl w:val="0"/>
          <w:numId w:val="2"/>
        </w:numPr>
        <w:spacing w:after="50"/>
      </w:pPr>
      <w:r>
        <w:rPr>
          <w:rFonts w:ascii="Calibri" w:cs="Calibri" w:eastAsia="Calibri" w:hAnsi="Calibri"/>
          <w:sz w:val="21"/>
          <w:szCs w:val="21"/>
        </w:rPr>
        <w:t xml:space="preserve">The Direct / Related mapping of factors to risks is a judgement and affects every result.</w:t>
      </w:r>
    </w:p>
    <w:p>
      <w:pPr>
        <w:pStyle w:val="ListParagraph"/>
        <w:numPr>
          <w:ilvl w:val="0"/>
          <w:numId w:val="2"/>
        </w:numPr>
        <w:spacing w:after="50"/>
      </w:pPr>
      <w:r>
        <w:rPr>
          <w:rFonts w:ascii="Calibri" w:cs="Calibri" w:eastAsia="Calibri" w:hAnsi="Calibri"/>
          <w:sz w:val="21"/>
          <w:szCs w:val="21"/>
        </w:rPr>
        <w:t xml:space="preserve">Many tests are run (nine held-out predictions, four model tests); isolated p-values just under 0.05 should not be over-read.</w:t>
      </w:r>
    </w:p>
    <w:p>
      <w:pPr>
        <w:pStyle w:val="ListParagraph"/>
        <w:numPr>
          <w:ilvl w:val="0"/>
          <w:numId w:val="2"/>
        </w:numPr>
        <w:spacing w:after="50"/>
      </w:pPr>
      <w:r>
        <w:rPr>
          <w:rFonts w:ascii="Calibri" w:cs="Calibri" w:eastAsia="Calibri" w:hAnsi="Calibri"/>
          <w:sz w:val="21"/>
          <w:szCs w:val="21"/>
        </w:rPr>
        <w:t xml:space="preserve">Values from A02, A14 and A15 (not standardised) came from research notes rather than the PDFs.</w:t>
      </w:r>
    </w:p>
    <w:p>
      <w:pPr>
        <w:pStyle w:val="ListParagraph"/>
        <w:numPr>
          <w:ilvl w:val="0"/>
          <w:numId w:val="2"/>
        </w:numPr>
        <w:spacing w:after="50"/>
      </w:pPr>
      <w:r>
        <w:rPr>
          <w:rFonts w:ascii="Calibri" w:cs="Calibri" w:eastAsia="Calibri" w:hAnsi="Calibri"/>
          <w:sz w:val="21"/>
          <w:szCs w:val="21"/>
        </w:rPr>
        <w:t xml:space="preserve">An RII is an importance rating. Nothing here concerns probabilities or delay days.</w:t>
      </w:r>
    </w:p>
    <w:sectPr>
      <w:footerReference w:type="default" r:id="rId6"/>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2"/>
        <w:sz w:val="16"/>
        <w:szCs w:val="16"/>
      </w:rPr>
      <w:t xml:space="preserve">Bricks-ly standardised statistical analysis   |   page </w:t>
    </w:r>
    <w:r>
      <w:rPr>
        <w:rFonts w:ascii="Calibri" w:cs="Calibri" w:eastAsia="Calibri" w:hAnsi="Calibri"/>
        <w:color w:val="6B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Calibri" w:cs="Calibri" w:eastAsia="Calibri" w:hAnsi="Calibri"/>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2026-10-06T18:03:56.319Z</dcterms:created>
  <dcterms:modified xsi:type="dcterms:W3CDTF">2026-10-06T18:03:56.320Z</dcterms:modified>
</cp:coreProperties>
</file>

<file path=docProps/custom.xml><?xml version="1.0" encoding="utf-8"?>
<Properties xmlns="http://schemas.openxmlformats.org/officeDocument/2006/custom-properties" xmlns:vt="http://schemas.openxmlformats.org/officeDocument/2006/docPropsVTypes"/>
</file>