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8"/>
          <w:szCs w:val="38"/>
        </w:rPr>
        <w:t xml:space="preserve">Worked Calculations: how Bricks-ly is carried out</w:t>
      </w:r>
    </w:p>
    <w:p>
      <w:pPr>
        <w:spacing w:after="140"/>
      </w:pPr>
      <w:r>
        <w:rPr>
          <w:rFonts w:ascii="Calibri" w:cs="Calibri" w:eastAsia="Calibri" w:hAnsi="Calibri"/>
          <w:color w:val="6B6B62"/>
          <w:sz w:val="21"/>
          <w:szCs w:val="21"/>
        </w:rPr>
        <w:t xml:space="preserve">Every step by hand, with real numbers from the project. The same numbers appear in the app and in RII_Masonry_Literature.xlsx.</w:t>
      </w:r>
    </w:p>
    <w:p>
      <w:pPr>
        <w:pStyle w:val="Heading1"/>
        <w:spacing w:after="110" w:before="300"/>
      </w:pPr>
      <w:r>
        <w:rPr>
          <w:rFonts w:ascii="Calibri" w:cs="Calibri" w:eastAsia="Calibri" w:hAnsi="Calibri"/>
          <w:b/>
          <w:bCs/>
          <w:sz w:val="27"/>
          <w:szCs w:val="27"/>
        </w:rPr>
        <w:t xml:space="preserve">0. The chain in one view</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5466"/>
      </w:tblGrid>
      <w:tr>
        <w:trPr>
          <w:tblHeader/>
        </w:trPr>
        <w:tc>
          <w:tcPr>
            <w:tcW w:type="dxa" w:w="7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Step</w:t>
            </w:r>
          </w:p>
        </w:tc>
        <w:tc>
          <w:tcPr>
            <w:tcW w:type="dxa" w:w="43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What is calculated</w:t>
            </w:r>
          </w:p>
        </w:tc>
        <w:tc>
          <w:tcPr>
            <w:tcW w:type="dxa" w:w="5466"/>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Result used next</w:t>
            </w:r>
          </w:p>
        </w:tc>
      </w:tr>
      <w:tr>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4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RII from survey counts (published papers)</w:t>
            </w:r>
          </w:p>
        </w:tc>
        <w:tc>
          <w:tcPr>
            <w:tcW w:type="dxa" w:w="5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One RII per factor</w:t>
            </w:r>
          </w:p>
        </w:tc>
      </w:tr>
      <w:tr>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4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Match factors to our 38 library risks (Direct only)</w:t>
            </w:r>
          </w:p>
        </w:tc>
        <w:tc>
          <w:tcPr>
            <w:tcW w:type="dxa" w:w="5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RII values per risk and study</w:t>
            </w:r>
          </w:p>
        </w:tc>
      </w:tr>
      <w:tr>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w:t>
            </w:r>
          </w:p>
        </w:tc>
        <w:tc>
          <w:tcPr>
            <w:tcW w:type="dxa" w:w="4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Average inside each study, then across studies</w:t>
            </w:r>
          </w:p>
        </w:tc>
        <w:tc>
          <w:tcPr>
            <w:tcW w:type="dxa" w:w="5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Seed mean RII per risk</w:t>
            </w:r>
          </w:p>
        </w:tc>
      </w:tr>
      <w:tr>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4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Rank, then split into five equal bands</w:t>
            </w:r>
          </w:p>
        </w:tc>
        <w:tc>
          <w:tcPr>
            <w:tcW w:type="dxa" w:w="5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Seed class 1 to 5</w:t>
            </w:r>
          </w:p>
        </w:tc>
      </w:tr>
      <w:tr>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5</w:t>
            </w:r>
          </w:p>
        </w:tc>
        <w:tc>
          <w:tcPr>
            <w:tcW w:type="dxa" w:w="4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Place on the 5×5 matrix; rule flag adds one probability class</w:t>
            </w:r>
          </w:p>
        </w:tc>
        <w:tc>
          <w:tcPr>
            <w:tcW w:type="dxa" w:w="5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Matrix cell and level</w:t>
            </w:r>
          </w:p>
        </w:tc>
      </w:tr>
      <w:tr>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6</w:t>
            </w:r>
          </w:p>
        </w:tc>
        <w:tc>
          <w:tcPr>
            <w:tcW w:type="dxa" w:w="4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When the user enters p and delay: PERT mean, impact ratio, classes</w:t>
            </w:r>
          </w:p>
        </w:tc>
        <w:tc>
          <w:tcPr>
            <w:tcW w:type="dxa" w:w="5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Matrix cell from entered numbers</w:t>
            </w:r>
          </w:p>
        </w:tc>
      </w:tr>
      <w:tr>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7</w:t>
            </w:r>
          </w:p>
        </w:tc>
        <w:tc>
          <w:tcPr>
            <w:tcW w:type="dxa" w:w="4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Rule engine: site facts flag risks</w:t>
            </w:r>
          </w:p>
        </w:tc>
        <w:tc>
          <w:tcPr>
            <w:tcW w:type="dxa" w:w="5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Elevated flags, auto-added risks</w:t>
            </w:r>
          </w:p>
        </w:tc>
      </w:tr>
      <w:tr>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8</w:t>
            </w:r>
          </w:p>
        </w:tc>
        <w:tc>
          <w:tcPr>
            <w:tcW w:type="dxa" w:w="4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Validation: Spearman correlation with held-out studies</w:t>
            </w:r>
          </w:p>
        </w:tc>
        <w:tc>
          <w:tcPr>
            <w:tcW w:type="dxa" w:w="5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Agreement of the ranking</w:t>
            </w:r>
          </w:p>
        </w:tc>
      </w:tr>
      <w:tr>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9</w:t>
            </w:r>
          </w:p>
        </w:tc>
        <w:tc>
          <w:tcPr>
            <w:tcW w:type="dxa" w:w="4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Sensitivity: change inputs ±20% and see what moves</w:t>
            </w:r>
          </w:p>
        </w:tc>
        <w:tc>
          <w:tcPr>
            <w:tcW w:type="dxa" w:w="5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Stability of the matrix</w:t>
            </w:r>
          </w:p>
        </w:tc>
      </w:tr>
      <w:tr>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10</w:t>
            </w:r>
          </w:p>
        </w:tc>
        <w:tc>
          <w:tcPr>
            <w:tcW w:type="dxa" w:w="4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Expert survey RII (primary data) and site comparison (phase 2)</w:t>
            </w:r>
          </w:p>
        </w:tc>
        <w:tc>
          <w:tcPr>
            <w:tcW w:type="dxa" w:w="5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Own evidence</w:t>
            </w:r>
          </w:p>
        </w:tc>
      </w:tr>
    </w:tbl>
    <w:p>
      <w:pPr>
        <w:spacing w:after="90"/>
      </w:pPr>
      <w:r>
        <w:rPr>
          <w:rFonts w:ascii="Calibri" w:cs="Calibri" w:eastAsia="Calibri" w:hAnsi="Calibri"/>
          <w:i/>
          <w:iCs/>
          <w:color w:val="6B6B62"/>
          <w:sz w:val="21"/>
          <w:szCs w:val="21"/>
        </w:rPr>
        <w:t xml:space="preserve">Steps 1 to 8 use real published values. Anything marked ILLUSTRATIVE (the example case, the survey example, the site example) uses placeholder numbers to show the method and is not evidence.</w:t>
      </w:r>
    </w:p>
    <w:p>
      <w:pPr>
        <w:pStyle w:val="Heading1"/>
        <w:spacing w:after="110" w:before="300"/>
      </w:pPr>
      <w:r>
        <w:rPr>
          <w:rFonts w:ascii="Calibri" w:cs="Calibri" w:eastAsia="Calibri" w:hAnsi="Calibri"/>
          <w:b/>
          <w:bCs/>
          <w:sz w:val="27"/>
          <w:szCs w:val="27"/>
        </w:rPr>
        <w:t xml:space="preserve">1. RII from survey counts</w:t>
      </w:r>
    </w:p>
    <w:p>
      <w:pPr>
        <w:spacing w:after="90"/>
      </w:pPr>
      <w:r>
        <w:rPr>
          <w:rFonts w:ascii="Calibri" w:cs="Calibri" w:eastAsia="Calibri" w:hAnsi="Calibri"/>
          <w:sz w:val="21"/>
          <w:szCs w:val="21"/>
        </w:rPr>
        <w:t xml:space="preserve">Respondents rate each factor from 1 (lowest) to 5 (highest). The count of respondents choosing each rating gives the RII.</w:t>
      </w:r>
    </w:p>
    <w:p>
      <w:pPr>
        <w:shd w:fill="F1F1E8" w:color="auto" w:val="clear"/>
        <w:spacing w:after="70"/>
        <w:ind w:left="360"/>
      </w:pPr>
      <w:r>
        <w:rPr>
          <w:rFonts w:ascii="Consolas" w:cs="Consolas" w:eastAsia="Consolas" w:hAnsi="Consolas"/>
          <w:sz w:val="20"/>
          <w:szCs w:val="20"/>
        </w:rPr>
        <w:t xml:space="preserve">RII = Σ(rating × number of respondents choosing it) / (highest rating × total respondents)</w:t>
      </w:r>
    </w:p>
    <w:p>
      <w:pPr>
        <w:pStyle w:val="Heading2"/>
        <w:spacing w:after="70" w:before="180"/>
      </w:pPr>
      <w:r>
        <w:rPr>
          <w:rFonts w:ascii="Calibri" w:cs="Calibri" w:eastAsia="Calibri" w:hAnsi="Calibri"/>
          <w:b/>
          <w:bCs/>
          <w:sz w:val="23"/>
          <w:szCs w:val="23"/>
        </w:rPr>
        <w:t xml:space="preserve">Example: Karthik &amp; Rao 2019 (M01), 44 respondents, Table 3</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1900"/>
        <w:gridCol w:w="1500"/>
        <w:gridCol w:w="1666"/>
      </w:tblGrid>
      <w:tr>
        <w:trPr>
          <w:tblHeader/>
        </w:trPr>
        <w:tc>
          <w:tcPr>
            <w:tcW w:type="dxa" w:w="30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Factor</w:t>
            </w:r>
          </w:p>
        </w:tc>
        <w:tc>
          <w:tcPr>
            <w:tcW w:type="dxa" w:w="24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Counts for ratings 1,2,3,4,5</w:t>
            </w:r>
          </w:p>
        </w:tc>
        <w:tc>
          <w:tcPr>
            <w:tcW w:type="dxa" w:w="19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Σ(rating × count)</w:t>
            </w:r>
          </w:p>
        </w:tc>
        <w:tc>
          <w:tcPr>
            <w:tcW w:type="dxa" w:w="15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 (5 × 44)</w:t>
            </w:r>
          </w:p>
        </w:tc>
        <w:tc>
          <w:tcPr>
            <w:tcW w:type="dxa" w:w="1666"/>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RII</w:t>
            </w:r>
          </w:p>
        </w:tc>
      </w:tr>
      <w:tr>
        <w:tc>
          <w:tcPr>
            <w:tcW w:type="dxa" w:w="3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Unsafe working conditions</w:t>
            </w:r>
          </w:p>
        </w:tc>
        <w:tc>
          <w:tcPr>
            <w:tcW w:type="dxa" w:w="24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2, 2, 4, 20, 16</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2+4+12+80+80 = 178</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178 / 220</w:t>
            </w:r>
          </w:p>
        </w:tc>
        <w:tc>
          <w:tcPr>
            <w:tcW w:type="dxa" w:w="1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right"/>
            </w:pPr>
            <w:r>
              <w:rPr>
                <w:rFonts w:ascii="Calibri" w:cs="Calibri" w:eastAsia="Calibri" w:hAnsi="Calibri"/>
                <w:b w:val="false"/>
                <w:bCs w:val="false"/>
                <w:sz w:val="19"/>
                <w:szCs w:val="19"/>
              </w:rPr>
              <w:t xml:space="preserve">0.809</w:t>
            </w:r>
          </w:p>
        </w:tc>
      </w:tr>
      <w:tr>
        <w:tc>
          <w:tcPr>
            <w:tcW w:type="dxa" w:w="3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Material shortages</w:t>
            </w:r>
          </w:p>
        </w:tc>
        <w:tc>
          <w:tcPr>
            <w:tcW w:type="dxa" w:w="24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2, 3, 6, 20, 13</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2+6+18+80+65 = 171</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171 / 220</w:t>
            </w:r>
          </w:p>
        </w:tc>
        <w:tc>
          <w:tcPr>
            <w:tcW w:type="dxa" w:w="1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right"/>
            </w:pPr>
            <w:r>
              <w:rPr>
                <w:rFonts w:ascii="Calibri" w:cs="Calibri" w:eastAsia="Calibri" w:hAnsi="Calibri"/>
                <w:b w:val="false"/>
                <w:bCs w:val="false"/>
                <w:sz w:val="19"/>
                <w:szCs w:val="19"/>
              </w:rPr>
              <w:t xml:space="preserve">0.777</w:t>
            </w:r>
          </w:p>
        </w:tc>
      </w:tr>
      <w:tr>
        <w:tc>
          <w:tcPr>
            <w:tcW w:type="dxa" w:w="3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Payment delay</w:t>
            </w:r>
          </w:p>
        </w:tc>
        <w:tc>
          <w:tcPr>
            <w:tcW w:type="dxa" w:w="24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2, 3, 6, 21, 12</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2+6+18+84+60 = 170</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170 / 220</w:t>
            </w:r>
          </w:p>
        </w:tc>
        <w:tc>
          <w:tcPr>
            <w:tcW w:type="dxa" w:w="1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right"/>
            </w:pPr>
            <w:r>
              <w:rPr>
                <w:rFonts w:ascii="Calibri" w:cs="Calibri" w:eastAsia="Calibri" w:hAnsi="Calibri"/>
                <w:b w:val="false"/>
                <w:bCs w:val="false"/>
                <w:sz w:val="19"/>
                <w:szCs w:val="19"/>
              </w:rPr>
              <w:t xml:space="preserve">0.773</w:t>
            </w:r>
          </w:p>
        </w:tc>
      </w:tr>
    </w:tbl>
    <w:p>
      <w:pPr>
        <w:spacing w:after="90"/>
      </w:pPr>
      <w:r>
        <w:rPr>
          <w:rFonts w:ascii="Calibri" w:cs="Calibri" w:eastAsia="Calibri" w:hAnsi="Calibri"/>
          <w:i/>
          <w:iCs/>
          <w:color w:val="6B6B62"/>
          <w:sz w:val="21"/>
          <w:szCs w:val="21"/>
        </w:rPr>
        <w:t xml:space="preserve">These reproduce the RII values printed in the paper, which confirms the formula and the respondent count of 44 (each row of counts sums to 44).</w:t>
      </w:r>
    </w:p>
    <w:p>
      <w:pPr>
        <w:pStyle w:val="Heading1"/>
        <w:spacing w:after="110" w:before="300"/>
      </w:pPr>
      <w:r>
        <w:rPr>
          <w:rFonts w:ascii="Calibri" w:cs="Calibri" w:eastAsia="Calibri" w:hAnsi="Calibri"/>
          <w:b/>
          <w:bCs/>
          <w:sz w:val="27"/>
          <w:szCs w:val="27"/>
        </w:rPr>
        <w:t xml:space="preserve">2. Matching factors to the library risks</w:t>
      </w:r>
    </w:p>
    <w:p>
      <w:pPr>
        <w:spacing w:after="90"/>
      </w:pPr>
      <w:r>
        <w:rPr>
          <w:rFonts w:ascii="Calibri" w:cs="Calibri" w:eastAsia="Calibri" w:hAnsi="Calibri"/>
          <w:sz w:val="21"/>
          <w:szCs w:val="21"/>
        </w:rPr>
        <w:t xml:space="preserve">Each paper uses its own wording. A factor is matched to one of the 38 library risks as Direct (names the same cause) or Related (overlaps, but is broader, narrower or an outcome). Only Direct values from the five seed studies enter the seed.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1100"/>
        <w:gridCol w:w="1100"/>
        <w:gridCol w:w="2666"/>
      </w:tblGrid>
      <w:tr>
        <w:trPr>
          <w:tblHeader/>
        </w:trPr>
        <w:tc>
          <w:tcPr>
            <w:tcW w:type="dxa" w:w="23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Study</w:t>
            </w:r>
          </w:p>
        </w:tc>
        <w:tc>
          <w:tcPr>
            <w:tcW w:type="dxa" w:w="33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Factor as printed</w:t>
            </w:r>
          </w:p>
        </w:tc>
        <w:tc>
          <w:tcPr>
            <w:tcW w:type="dxa" w:w="11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RII</w:t>
            </w:r>
          </w:p>
        </w:tc>
        <w:tc>
          <w:tcPr>
            <w:tcW w:type="dxa" w:w="11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Tool risk</w:t>
            </w:r>
          </w:p>
        </w:tc>
        <w:tc>
          <w:tcPr>
            <w:tcW w:type="dxa" w:w="2666"/>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Mapping</w:t>
            </w:r>
          </w:p>
        </w:tc>
      </w:tr>
      <w:tr>
        <w:tc>
          <w:tcPr>
            <w:tcW w:type="dxa" w:w="2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M01 India</w:t>
            </w:r>
          </w:p>
        </w:tc>
        <w:tc>
          <w:tcPr>
            <w:tcW w:type="dxa" w:w="3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Material shortages</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0.777</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w:t>
            </w:r>
          </w:p>
        </w:tc>
        <w:tc>
          <w:tcPr>
            <w:tcW w:type="dxa" w:w="2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Direct</w:t>
            </w:r>
          </w:p>
        </w:tc>
      </w:tr>
      <w:tr>
        <w:tc>
          <w:tcPr>
            <w:tcW w:type="dxa" w:w="2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A02 India</w:t>
            </w:r>
          </w:p>
        </w:tc>
        <w:tc>
          <w:tcPr>
            <w:tcW w:type="dxa" w:w="3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Lack of required construction material</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0.780</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w:t>
            </w:r>
          </w:p>
        </w:tc>
        <w:tc>
          <w:tcPr>
            <w:tcW w:type="dxa" w:w="2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Direct</w:t>
            </w:r>
          </w:p>
        </w:tc>
      </w:tr>
      <w:tr>
        <w:tc>
          <w:tcPr>
            <w:tcW w:type="dxa" w:w="2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A14 Sri Lanka</w:t>
            </w:r>
          </w:p>
        </w:tc>
        <w:tc>
          <w:tcPr>
            <w:tcW w:type="dxa" w:w="3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Delay of delivering materials to the site</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0.810</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w:t>
            </w:r>
          </w:p>
        </w:tc>
        <w:tc>
          <w:tcPr>
            <w:tcW w:type="dxa" w:w="2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Direct</w:t>
            </w:r>
          </w:p>
        </w:tc>
      </w:tr>
      <w:tr>
        <w:tc>
          <w:tcPr>
            <w:tcW w:type="dxa" w:w="2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A14 Sri Lanka</w:t>
            </w:r>
          </w:p>
        </w:tc>
        <w:tc>
          <w:tcPr>
            <w:tcW w:type="dxa" w:w="3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Shortage of skilled subcontractors/suppliers</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0.829</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w:t>
            </w:r>
          </w:p>
        </w:tc>
        <w:tc>
          <w:tcPr>
            <w:tcW w:type="dxa" w:w="2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Related: not used (suppliers and subcontractors mixed)</w:t>
            </w:r>
          </w:p>
        </w:tc>
      </w:tr>
      <w:tr>
        <w:tc>
          <w:tcPr>
            <w:tcW w:type="dxa" w:w="2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M01 India</w:t>
            </w:r>
          </w:p>
        </w:tc>
        <w:tc>
          <w:tcPr>
            <w:tcW w:type="dxa" w:w="3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Accidents</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0.759</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R-SAFE</w:t>
            </w:r>
          </w:p>
        </w:tc>
        <w:tc>
          <w:tcPr>
            <w:tcW w:type="dxa" w:w="2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Related: not used (an outcome, not the condition)</w:t>
            </w:r>
          </w:p>
        </w:tc>
      </w:tr>
    </w:tbl>
    <w:p>
      <w:pPr>
        <w:pStyle w:val="Heading1"/>
        <w:spacing w:after="110" w:before="300"/>
      </w:pPr>
      <w:r>
        <w:rPr>
          <w:rFonts w:ascii="Calibri" w:cs="Calibri" w:eastAsia="Calibri" w:hAnsi="Calibri"/>
          <w:b/>
          <w:bCs/>
          <w:sz w:val="27"/>
          <w:szCs w:val="27"/>
        </w:rPr>
        <w:t xml:space="preserve">3. Seed mean RII (average inside each study first)</w:t>
      </w:r>
    </w:p>
    <w:p>
      <w:pPr>
        <w:spacing w:after="90"/>
      </w:pPr>
      <w:r>
        <w:rPr>
          <w:rFonts w:ascii="Calibri" w:cs="Calibri" w:eastAsia="Calibri" w:hAnsi="Calibri"/>
          <w:sz w:val="21"/>
          <w:szCs w:val="21"/>
        </w:rPr>
        <w:t xml:space="preserve">If a study has two Direct values for one risk, they are averaged first so that every study counts once.</w:t>
      </w:r>
    </w:p>
    <w:p>
      <w:pPr>
        <w:pStyle w:val="Heading2"/>
        <w:spacing w:after="70" w:before="180"/>
      </w:pPr>
      <w:r>
        <w:rPr>
          <w:rFonts w:ascii="Calibri" w:cs="Calibri" w:eastAsia="Calibri" w:hAnsi="Calibri"/>
          <w:b/>
          <w:bCs/>
          <w:sz w:val="23"/>
          <w:szCs w:val="23"/>
        </w:rPr>
        <w:t xml:space="preserve">R-MAT: three studies, one value each</w:t>
      </w:r>
    </w:p>
    <w:p>
      <w:pPr>
        <w:shd w:fill="F1F1E8" w:color="auto" w:val="clear"/>
        <w:spacing w:after="70"/>
        <w:ind w:left="360"/>
      </w:pPr>
      <w:r>
        <w:rPr>
          <w:rFonts w:ascii="Consolas" w:cs="Consolas" w:eastAsia="Consolas" w:hAnsi="Consolas"/>
          <w:sz w:val="20"/>
          <w:szCs w:val="20"/>
        </w:rPr>
        <w:t xml:space="preserve">(0.777 + 0.780 + 0.810) / 3 = 0.7889</w:t>
      </w:r>
    </w:p>
    <w:p>
      <w:pPr>
        <w:pStyle w:val="Heading2"/>
        <w:spacing w:after="70" w:before="180"/>
      </w:pPr>
      <w:r>
        <w:rPr>
          <w:rFonts w:ascii="Calibri" w:cs="Calibri" w:eastAsia="Calibri" w:hAnsi="Calibri"/>
          <w:b/>
          <w:bCs/>
          <w:sz w:val="23"/>
          <w:szCs w:val="23"/>
        </w:rPr>
        <w:t xml:space="preserve">R-SAFE: one study (M01), two Direct items</w:t>
      </w:r>
    </w:p>
    <w:p>
      <w:pPr>
        <w:shd w:fill="F1F1E8" w:color="auto" w:val="clear"/>
        <w:spacing w:after="70"/>
        <w:ind w:left="360"/>
      </w:pPr>
      <w:r>
        <w:rPr>
          <w:rFonts w:ascii="Consolas" w:cs="Consolas" w:eastAsia="Consolas" w:hAnsi="Consolas"/>
          <w:sz w:val="20"/>
          <w:szCs w:val="20"/>
        </w:rPr>
        <w:t xml:space="preserve">M01 study mean = (0.809 unsafe conditions + 0.764 working at heights) / 2 = 0.7865</w:t>
      </w:r>
    </w:p>
    <w:p>
      <w:pPr>
        <w:shd w:fill="F1F1E8" w:color="auto" w:val="clear"/>
        <w:spacing w:after="70"/>
        <w:ind w:left="360"/>
      </w:pPr>
      <w:r>
        <w:rPr>
          <w:rFonts w:ascii="Consolas" w:cs="Consolas" w:eastAsia="Consolas" w:hAnsi="Consolas"/>
          <w:sz w:val="20"/>
          <w:szCs w:val="20"/>
        </w:rPr>
        <w:t xml:space="preserve">Seed mean = 0.7865   (only one study, so the mean is that study's value)</w:t>
      </w:r>
    </w:p>
    <w:p>
      <w:pPr>
        <w:pStyle w:val="Heading2"/>
        <w:spacing w:after="70" w:before="180"/>
      </w:pPr>
      <w:r>
        <w:rPr>
          <w:rFonts w:ascii="Calibri" w:cs="Calibri" w:eastAsia="Calibri" w:hAnsi="Calibri"/>
          <w:b/>
          <w:bCs/>
          <w:sz w:val="23"/>
          <w:szCs w:val="23"/>
        </w:rPr>
        <w:t xml:space="preserve">R-WX: four studies</w:t>
      </w:r>
    </w:p>
    <w:p>
      <w:pPr>
        <w:shd w:fill="F1F1E8" w:color="auto" w:val="clear"/>
        <w:spacing w:after="70"/>
        <w:ind w:left="360"/>
      </w:pPr>
      <w:r>
        <w:rPr>
          <w:rFonts w:ascii="Consolas" w:cs="Consolas" w:eastAsia="Consolas" w:hAnsi="Consolas"/>
          <w:sz w:val="20"/>
          <w:szCs w:val="20"/>
        </w:rPr>
        <w:t xml:space="preserve">(0.764 M01 + 0.700 A02 + 0.657 M06 + 0.653 A14) / 4 = 2.774 / 4 = 0.6934</w:t>
      </w:r>
    </w:p>
    <w:p>
      <w:pPr>
        <w:spacing w:after="90"/>
      </w:pPr>
      <w:r>
        <w:rPr>
          <w:rFonts w:ascii="Calibri" w:cs="Calibri" w:eastAsia="Calibri" w:hAnsi="Calibri"/>
          <w:i/>
          <w:iCs/>
          <w:color w:val="6B6B62"/>
          <w:sz w:val="21"/>
          <w:szCs w:val="21"/>
        </w:rPr>
        <w:t xml:space="preserve">M06 climate conditions 0.6567 and A14 bad weather 0.6528 are shown rounded.</w:t>
      </w:r>
    </w:p>
    <w:p>
      <w:pPr>
        <w:pStyle w:val="Heading1"/>
        <w:spacing w:after="110" w:before="300"/>
      </w:pPr>
      <w:r>
        <w:rPr>
          <w:rFonts w:ascii="Calibri" w:cs="Calibri" w:eastAsia="Calibri" w:hAnsi="Calibri"/>
          <w:b/>
          <w:bCs/>
          <w:sz w:val="27"/>
          <w:szCs w:val="27"/>
        </w:rPr>
        <w:t xml:space="preserve">4. Ranking and the five bands</w:t>
      </w:r>
    </w:p>
    <w:p>
      <w:pPr>
        <w:shd w:fill="F1F1E8" w:color="auto" w:val="clear"/>
        <w:spacing w:after="70"/>
        <w:ind w:left="360"/>
      </w:pPr>
      <w:r>
        <w:rPr>
          <w:rFonts w:ascii="Consolas" w:cs="Consolas" w:eastAsia="Consolas" w:hAnsi="Consolas"/>
          <w:sz w:val="20"/>
          <w:szCs w:val="20"/>
        </w:rPr>
        <w:t xml:space="preserve">Class = 5 − INT( (rank − 1) × 5 / n )     with n = 30 seeded risks</w:t>
      </w:r>
    </w:p>
    <w:p>
      <w:pPr>
        <w:spacing w:after="90"/>
      </w:pPr>
      <w:r>
        <w:rPr>
          <w:rFonts w:ascii="Calibri" w:cs="Calibri" w:eastAsia="Calibri" w:hAnsi="Calibri"/>
          <w:sz w:val="21"/>
          <w:szCs w:val="21"/>
        </w:rPr>
        <w:t xml:space="preserve">Rank 1 → 5 − INT(0) = 5.  Rank 6 → 5 − INT(5 × 5 / 30) = 5 − INT(0.83) = 5.  Rank 7 → 5 − INT(6 × 5 / 30) = 5 − INT(1.0) = 4.  Rank 24 (R-WX) → 5 − INT(23 × 5 / 30) = 5 − INT(3.83) = 2.  Rank 30 → 5 − INT(29 × 5 / 30) = 5 − INT(4.83) = 1.</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700"/>
        <w:gridCol w:w="700"/>
        <w:gridCol w:w="2200"/>
        <w:gridCol w:w="1100"/>
        <w:gridCol w:w="3466"/>
      </w:tblGrid>
      <w:tr>
        <w:trPr>
          <w:tblHeader/>
        </w:trPr>
        <w:tc>
          <w:tcPr>
            <w:tcW w:type="dxa" w:w="10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Risk</w:t>
            </w:r>
          </w:p>
        </w:tc>
        <w:tc>
          <w:tcPr>
            <w:tcW w:type="dxa" w:w="13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Seed mean RII</w:t>
            </w:r>
          </w:p>
        </w:tc>
        <w:tc>
          <w:tcPr>
            <w:tcW w:type="dxa" w:w="7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Rank</w:t>
            </w:r>
          </w:p>
        </w:tc>
        <w:tc>
          <w:tcPr>
            <w:tcW w:type="dxa" w:w="7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Class</w:t>
            </w:r>
          </w:p>
        </w:tc>
        <w:tc>
          <w:tcPr>
            <w:tcW w:type="dxa" w:w="22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Cell (class on both axes)</w:t>
            </w:r>
          </w:p>
        </w:tc>
        <w:tc>
          <w:tcPr>
            <w:tcW w:type="dxa" w:w="11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Level</w:t>
            </w:r>
          </w:p>
        </w:tc>
        <w:tc>
          <w:tcPr>
            <w:tcW w:type="dxa" w:w="3466"/>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Seed studies</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0.7889</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5</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p5 × i5 = 25</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Extreme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A02, A14, M01</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R-SAFE</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0.7865</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5</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p5 × i5 = 25</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Extreme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M01</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R-SKILL</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0.7831</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5</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p5 × i5 = 25</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Extreme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A02, A15, M01</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R-PLAN</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0.7771</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5</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p5 × i5 = 25</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Extreme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M01, M06</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R-PAY</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0.7733</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5</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5</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p5 × i5 = 25</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Extreme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A02, M01, M06</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R-DIS</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0.7700</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6</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5</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p5 × i5 = 25</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Extreme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A15, M01</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R-LAB</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0.7662</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7</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p4 × i4 = 16</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Extreme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A02, A14, M01</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R-SCP</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0.7642</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8</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p4 × i4 = 16</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Extreme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M06</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R-SITE</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0.7611</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9</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p4 × i4 = 16</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Extreme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A02, M06</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R-DES</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0.7585</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10</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p4 × i4 = 16</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Extreme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M01, M06</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R-RWK</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0.7561</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11</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p4 × i4 = 16</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Extreme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M01, M06</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R-TOOL</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0.7528</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12</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p4 × i4 = 16</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Extreme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A02, M01</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R-INC</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0.7520</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13</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p3 × i3 = 9</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Moderate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M01</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R-STR</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0.7493</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14</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p3 × i3 = 9</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Moderate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M06</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R-CTR</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0.7468</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15</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p3 × i3 = 9</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Moderate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M06</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R-SUP</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0.7440</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16</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p3 × i3 = 9</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Moderate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M01</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R-MOT</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0.7360</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17</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p3 × i3 = 9</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Moderate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M01</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R-MGT</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0.7331</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18</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p3 × i3 = 9</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Moderate</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M01, M06</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R-CST</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0.7184</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19</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p2 × i2 = 4</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Low</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M06</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R-OVT</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0.7063</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20</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p2 × i2 = 4</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Low</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M01, M06</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R-ACC</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0.7045</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21</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p2 × i2 = 4</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Low</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A02, M01</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R-MTH</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0.7000</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22</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p2 × i2 = 4</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Low</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M01</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R-STO</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0.7000</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23</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p2 × i2 = 4</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Low</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A02</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R-WX</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0.6934</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24</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p2 × i2 = 4</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Low</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A02, A14, M01, M06</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R-COM</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0.6793</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25</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p1 × i1 = 1</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Low</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A02, M06</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R-PRC</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0.6695</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26</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p1 × i1 = 1</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Low</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A02, A14</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R-ECO</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0.6612</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27</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p1 × i1 = 1</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Low</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M06</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R-WAT</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0.6500</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28</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p1 × i1 = 1</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Low</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A02</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R-FAT</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0.6100</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29</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p1 × i1 = 1</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Low</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A02</w:t>
            </w:r>
          </w:p>
        </w:tc>
      </w:tr>
      <w:tr>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R-SOC</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0.5940</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30</w:t>
            </w:r>
          </w:p>
        </w:tc>
        <w:tc>
          <w:tcPr>
            <w:tcW w:type="dxa" w:w="7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2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p1 × i1 = 1</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Low</w:t>
            </w:r>
          </w:p>
        </w:tc>
        <w:tc>
          <w:tcPr>
            <w:tcW w:type="dxa" w:w="34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M06</w:t>
            </w:r>
          </w:p>
        </w:tc>
      </w:tr>
    </w:tbl>
    <w:p>
      <w:pPr>
        <w:spacing w:after="90"/>
      </w:pPr>
      <w:r>
        <w:rPr>
          <w:rFonts w:ascii="Calibri" w:cs="Calibri" w:eastAsia="Calibri" w:hAnsi="Calibri"/>
          <w:i/>
          <w:iCs/>
          <w:color w:val="6B6B62"/>
          <w:sz w:val="21"/>
          <w:szCs w:val="21"/>
        </w:rPr>
        <w:t xml:space="preserve">Level uses the matrix thresholds (an Assumption): score ≤ 5 Low, 6 to 10 Moderate, 11 to 15 High, 16 or more Extreme. For example 5 × 5 = 25 is Extreme and 3 × 3 = 9 is Moderate.</w:t>
      </w:r>
    </w:p>
    <w:p>
      <w:pPr>
        <w:spacing w:after="90"/>
      </w:pPr>
      <w:r>
        <w:rPr>
          <w:rFonts w:ascii="Calibri" w:cs="Calibri" w:eastAsia="Calibri" w:hAnsi="Calibri"/>
          <w:b/>
          <w:bCs/>
          <w:sz w:val="21"/>
          <w:szCs w:val="21"/>
        </w:rPr>
        <w:t xml:space="preserve">Caution to state aloud: </w:t>
      </w:r>
      <w:r>
        <w:rPr>
          <w:rFonts w:ascii="Calibri" w:cs="Calibri" w:eastAsia="Calibri" w:hAnsi="Calibri"/>
          <w:sz w:val="21"/>
          <w:szCs w:val="21"/>
        </w:rPr>
        <w:t xml:space="preserve">the six risks in class 5 lie between 0.770 and 0.789 (a spread of 0.019), so the band edges split risks that are almost tied. 30 of the 38 library risks are seeded; eight (R-TRN, R-PRD, R-SUB, R-CLI, R-QLT, R-DEF, R-GOV, R-FIN) have no value from the seed studies and stay off the matrix until numbers are entered. The seed is a weak starting order, not a measurement.</w:t>
      </w:r>
    </w:p>
    <w:p>
      <w:pPr>
        <w:pStyle w:val="Heading1"/>
        <w:spacing w:after="110" w:before="300"/>
      </w:pPr>
      <w:r>
        <w:rPr>
          <w:rFonts w:ascii="Calibri" w:cs="Calibri" w:eastAsia="Calibri" w:hAnsi="Calibri"/>
          <w:b/>
          <w:bCs/>
          <w:sz w:val="27"/>
          <w:szCs w:val="27"/>
        </w:rPr>
        <w:t xml:space="preserve">5. Placing a risk with no numbers on the matrix</w:t>
      </w:r>
    </w:p>
    <w:p>
      <w:pPr>
        <w:spacing w:after="90"/>
      </w:pPr>
      <w:r>
        <w:rPr>
          <w:rFonts w:ascii="Calibri" w:cs="Calibri" w:eastAsia="Calibri" w:hAnsi="Calibri"/>
          <w:sz w:val="21"/>
          <w:szCs w:val="21"/>
        </w:rPr>
        <w:t xml:space="preserve">A library risk with no probability or delay entered still appears, at (seed class, seed class), with a dashed outline and the label literature seed. A rule flag raises the probability class by one (maximum 5).</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2000"/>
        <w:gridCol w:w="2400"/>
        <w:gridCol w:w="3966"/>
      </w:tblGrid>
      <w:tr>
        <w:trPr>
          <w:tblHeader/>
        </w:trPr>
        <w:tc>
          <w:tcPr>
            <w:tcW w:type="dxa" w:w="21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Risk</w:t>
            </w:r>
          </w:p>
        </w:tc>
        <w:tc>
          <w:tcPr>
            <w:tcW w:type="dxa" w:w="20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Seed class</w:t>
            </w:r>
          </w:p>
        </w:tc>
        <w:tc>
          <w:tcPr>
            <w:tcW w:type="dxa" w:w="24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Rule flag?</w:t>
            </w:r>
          </w:p>
        </w:tc>
        <w:tc>
          <w:tcPr>
            <w:tcW w:type="dxa" w:w="3966"/>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Matrix cell and level</w:t>
            </w:r>
          </w:p>
        </w:tc>
      </w:tr>
      <w:tr>
        <w:tc>
          <w:tcPr>
            <w:tcW w:type="dxa" w:w="2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R-WX</w:t>
            </w:r>
          </w:p>
        </w:tc>
        <w:tc>
          <w:tcPr>
            <w:tcW w:type="dxa" w:w="2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24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No</w:t>
            </w:r>
          </w:p>
        </w:tc>
        <w:tc>
          <w:tcPr>
            <w:tcW w:type="dxa" w:w="39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p2 × i2 = 4 → Low</w:t>
            </w:r>
          </w:p>
        </w:tc>
      </w:tr>
      <w:tr>
        <w:tc>
          <w:tcPr>
            <w:tcW w:type="dxa" w:w="2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R-WX</w:t>
            </w:r>
          </w:p>
        </w:tc>
        <w:tc>
          <w:tcPr>
            <w:tcW w:type="dxa" w:w="2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24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Yes (monsoon overlaps the work)</w:t>
            </w:r>
          </w:p>
        </w:tc>
        <w:tc>
          <w:tcPr>
            <w:tcW w:type="dxa" w:w="39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p3 × i2 = 6 → Moderate</w:t>
            </w:r>
          </w:p>
        </w:tc>
      </w:tr>
      <w:tr>
        <w:tc>
          <w:tcPr>
            <w:tcW w:type="dxa" w:w="2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R-LAB</w:t>
            </w:r>
          </w:p>
        </w:tc>
        <w:tc>
          <w:tcPr>
            <w:tcW w:type="dxa" w:w="2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24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Yes (6 workers needed, 5 available)</w:t>
            </w:r>
          </w:p>
        </w:tc>
        <w:tc>
          <w:tcPr>
            <w:tcW w:type="dxa" w:w="39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p5 × i4 = 20 → Extreme</w:t>
            </w:r>
          </w:p>
        </w:tc>
      </w:tr>
      <w:tr>
        <w:tc>
          <w:tcPr>
            <w:tcW w:type="dxa" w:w="2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w:t>
            </w:r>
          </w:p>
        </w:tc>
        <w:tc>
          <w:tcPr>
            <w:tcW w:type="dxa" w:w="2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5</w:t>
            </w:r>
          </w:p>
        </w:tc>
        <w:tc>
          <w:tcPr>
            <w:tcW w:type="dxa" w:w="24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Yes</w:t>
            </w:r>
          </w:p>
        </w:tc>
        <w:tc>
          <w:tcPr>
            <w:tcW w:type="dxa" w:w="39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p5 (capped at 5) × i5 = 25 → Extreme</w:t>
            </w:r>
          </w:p>
        </w:tc>
      </w:tr>
    </w:tbl>
    <w:p>
      <w:pPr>
        <w:pStyle w:val="Heading1"/>
        <w:spacing w:after="110" w:before="300"/>
      </w:pPr>
      <w:r>
        <w:rPr>
          <w:rFonts w:ascii="Calibri" w:cs="Calibri" w:eastAsia="Calibri" w:hAnsi="Calibri"/>
          <w:b/>
          <w:bCs/>
          <w:sz w:val="27"/>
          <w:szCs w:val="27"/>
        </w:rPr>
        <w:t xml:space="preserve">6. When the user enters numbers (ILLUSTRATIVE example case)</w:t>
      </w:r>
    </w:p>
    <w:p>
      <w:pPr>
        <w:spacing w:after="90"/>
      </w:pPr>
      <w:r>
        <w:rPr>
          <w:rFonts w:ascii="Calibri" w:cs="Calibri" w:eastAsia="Calibri" w:hAnsi="Calibri"/>
          <w:b/>
          <w:bCs/>
          <w:color w:val="9A5B00"/>
          <w:sz w:val="21"/>
          <w:szCs w:val="21"/>
        </w:rPr>
        <w:t xml:space="preserve">ILLUSTRATIVE: placeholder numbers built into the example, not evidence. Planned duration 16 working days; impact edges 0.02 / 0.05 / 0.10 / 0.20; probability edges 0.2 / 0.4 / 0.6 / 0.8.</w:t>
      </w:r>
    </w:p>
    <w:p>
      <w:pPr>
        <w:shd w:fill="F1F1E8" w:color="auto" w:val="clear"/>
        <w:spacing w:after="70"/>
        <w:ind w:left="360"/>
      </w:pPr>
      <w:r>
        <w:rPr>
          <w:rFonts w:ascii="Consolas" w:cs="Consolas" w:eastAsia="Consolas" w:hAnsi="Consolas"/>
          <w:sz w:val="20"/>
          <w:szCs w:val="20"/>
        </w:rPr>
        <w:t xml:space="preserve">Expected delay if it occurs (Beta-PERT, λ = 4) = (min + 4 × most likely + max) / 6</w:t>
      </w:r>
    </w:p>
    <w:p>
      <w:pPr>
        <w:shd w:fill="F1F1E8" w:color="auto" w:val="clear"/>
        <w:spacing w:after="70"/>
        <w:ind w:left="360"/>
      </w:pPr>
      <w:r>
        <w:rPr>
          <w:rFonts w:ascii="Consolas" w:cs="Consolas" w:eastAsia="Consolas" w:hAnsi="Consolas"/>
          <w:sz w:val="20"/>
          <w:szCs w:val="20"/>
        </w:rPr>
        <w:t xml:space="preserve">Impact ratio = expected delay / planned duration       Probability class from p, impact class from the ratio</w:t>
      </w:r>
    </w:p>
    <w:p>
      <w:pPr>
        <w:pStyle w:val="Heading2"/>
        <w:spacing w:after="70" w:before="180"/>
      </w:pPr>
      <w:r>
        <w:rPr>
          <w:rFonts w:ascii="Calibri" w:cs="Calibri" w:eastAsia="Calibri" w:hAnsi="Calibri"/>
          <w:b/>
          <w:bCs/>
          <w:sz w:val="23"/>
          <w:szCs w:val="23"/>
        </w:rPr>
        <w:t xml:space="preserve">R-MAT (material shortage): p = 0.50, delay 1 / 3 / 8 days</w:t>
      </w:r>
    </w:p>
    <w:p>
      <w:pPr>
        <w:shd w:fill="F1F1E8" w:color="auto" w:val="clear"/>
        <w:spacing w:after="70"/>
        <w:ind w:left="360"/>
      </w:pPr>
      <w:r>
        <w:rPr>
          <w:rFonts w:ascii="Consolas" w:cs="Consolas" w:eastAsia="Consolas" w:hAnsi="Consolas"/>
          <w:sz w:val="20"/>
          <w:szCs w:val="20"/>
        </w:rPr>
        <w:t xml:space="preserve">Expected delay = (1 + 4×3 + 8) / 6 = 21 / 6 = 3.5 days</w:t>
      </w:r>
    </w:p>
    <w:p>
      <w:pPr>
        <w:shd w:fill="F1F1E8" w:color="auto" w:val="clear"/>
        <w:spacing w:after="70"/>
        <w:ind w:left="360"/>
      </w:pPr>
      <w:r>
        <w:rPr>
          <w:rFonts w:ascii="Consolas" w:cs="Consolas" w:eastAsia="Consolas" w:hAnsi="Consolas"/>
          <w:sz w:val="20"/>
          <w:szCs w:val="20"/>
        </w:rPr>
        <w:t xml:space="preserve">Impact ratio = 3.5 / 16 = 0.219  → above the last edge 0.20  → impact class 5</w:t>
      </w:r>
    </w:p>
    <w:p>
      <w:pPr>
        <w:shd w:fill="F1F1E8" w:color="auto" w:val="clear"/>
        <w:spacing w:after="70"/>
        <w:ind w:left="360"/>
      </w:pPr>
      <w:r>
        <w:rPr>
          <w:rFonts w:ascii="Consolas" w:cs="Consolas" w:eastAsia="Consolas" w:hAnsi="Consolas"/>
          <w:sz w:val="20"/>
          <w:szCs w:val="20"/>
        </w:rPr>
        <w:t xml:space="preserve">p = 0.50  → between 0.4 and 0.6  → probability class 3</w:t>
      </w:r>
    </w:p>
    <w:p>
      <w:pPr>
        <w:shd w:fill="F1F1E8" w:color="auto" w:val="clear"/>
        <w:spacing w:after="70"/>
        <w:ind w:left="360"/>
      </w:pPr>
      <w:r>
        <w:rPr>
          <w:rFonts w:ascii="Consolas" w:cs="Consolas" w:eastAsia="Consolas" w:hAnsi="Consolas"/>
          <w:sz w:val="20"/>
          <w:szCs w:val="20"/>
        </w:rPr>
        <w:t xml:space="preserve">Score = 3 × 5 = 15  → High</w:t>
      </w:r>
    </w:p>
    <w:p>
      <w:pPr>
        <w:pStyle w:val="Heading2"/>
        <w:spacing w:after="70" w:before="180"/>
      </w:pPr>
      <w:r>
        <w:rPr>
          <w:rFonts w:ascii="Calibri" w:cs="Calibri" w:eastAsia="Calibri" w:hAnsi="Calibri"/>
          <w:b/>
          <w:bCs/>
          <w:sz w:val="23"/>
          <w:szCs w:val="23"/>
        </w:rPr>
        <w:t xml:space="preserve">R-LAB (labour absenteeism): p = 0.35, delay 1 / 2 / 6 days</w:t>
      </w:r>
    </w:p>
    <w:p>
      <w:pPr>
        <w:shd w:fill="F1F1E8" w:color="auto" w:val="clear"/>
        <w:spacing w:after="70"/>
        <w:ind w:left="360"/>
      </w:pPr>
      <w:r>
        <w:rPr>
          <w:rFonts w:ascii="Consolas" w:cs="Consolas" w:eastAsia="Consolas" w:hAnsi="Consolas"/>
          <w:sz w:val="20"/>
          <w:szCs w:val="20"/>
        </w:rPr>
        <w:t xml:space="preserve">Expected delay = (1 + 8 + 6) / 6 = 2.5 days     Ratio = 2.5 / 16 = 0.156  → between 0.10 and 0.20  → impact class 4</w:t>
      </w:r>
    </w:p>
    <w:p>
      <w:pPr>
        <w:shd w:fill="F1F1E8" w:color="auto" w:val="clear"/>
        <w:spacing w:after="70"/>
        <w:ind w:left="360"/>
      </w:pPr>
      <w:r>
        <w:rPr>
          <w:rFonts w:ascii="Consolas" w:cs="Consolas" w:eastAsia="Consolas" w:hAnsi="Consolas"/>
          <w:sz w:val="20"/>
          <w:szCs w:val="20"/>
        </w:rPr>
        <w:t xml:space="preserve">p = 0.35 → between 0.2 and 0.4 → class 2     Score = 2 × 4 = 8 → Moderate</w:t>
      </w:r>
    </w:p>
    <w:tbl>
      <w:tblPr>
        <w:tblW w:type="dxa" w:w="9466"/>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1800"/>
        <w:gridCol w:w="1300"/>
        <w:gridCol w:w="1300"/>
        <w:gridCol w:w="1100"/>
        <w:gridCol w:w="1000"/>
        <w:gridCol w:w="1066"/>
      </w:tblGrid>
      <w:tr>
        <w:trPr>
          <w:tblHeader/>
        </w:trPr>
        <w:tc>
          <w:tcPr>
            <w:tcW w:type="dxa" w:w="11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Risk</w:t>
            </w:r>
          </w:p>
        </w:tc>
        <w:tc>
          <w:tcPr>
            <w:tcW w:type="dxa" w:w="8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p</w:t>
            </w:r>
          </w:p>
        </w:tc>
        <w:tc>
          <w:tcPr>
            <w:tcW w:type="dxa" w:w="18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Delay min/likely/max</w:t>
            </w:r>
          </w:p>
        </w:tc>
        <w:tc>
          <w:tcPr>
            <w:tcW w:type="dxa" w:w="13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Expected delay</w:t>
            </w:r>
          </w:p>
        </w:tc>
        <w:tc>
          <w:tcPr>
            <w:tcW w:type="dxa" w:w="13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Ratio to 16 d</w:t>
            </w:r>
          </w:p>
        </w:tc>
        <w:tc>
          <w:tcPr>
            <w:tcW w:type="dxa" w:w="11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p class</w:t>
            </w:r>
          </w:p>
        </w:tc>
        <w:tc>
          <w:tcPr>
            <w:tcW w:type="dxa" w:w="10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Impact</w:t>
            </w:r>
          </w:p>
        </w:tc>
        <w:tc>
          <w:tcPr>
            <w:tcW w:type="dxa" w:w="1066"/>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Level</w:t>
            </w:r>
          </w:p>
        </w:tc>
      </w:tr>
      <w:tr>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w:t>
            </w:r>
          </w:p>
        </w:tc>
        <w:tc>
          <w:tcPr>
            <w:tcW w:type="dxa" w:w="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0.50</w:t>
            </w:r>
          </w:p>
        </w:tc>
        <w:tc>
          <w:tcPr>
            <w:tcW w:type="dxa" w:w="1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 / 3 / 8</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3.50</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0.219</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w:t>
            </w:r>
          </w:p>
        </w:tc>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5</w:t>
            </w:r>
          </w:p>
        </w:tc>
        <w:tc>
          <w:tcPr>
            <w:tcW w:type="dxa" w:w="10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High (15)</w:t>
            </w:r>
          </w:p>
        </w:tc>
      </w:tr>
      <w:tr>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R-LAB</w:t>
            </w:r>
          </w:p>
        </w:tc>
        <w:tc>
          <w:tcPr>
            <w:tcW w:type="dxa" w:w="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0.35</w:t>
            </w:r>
          </w:p>
        </w:tc>
        <w:tc>
          <w:tcPr>
            <w:tcW w:type="dxa" w:w="1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 / 2 / 6</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2.50</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0.156</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10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Moderate (8)</w:t>
            </w:r>
          </w:p>
        </w:tc>
      </w:tr>
      <w:tr>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R-RWK</w:t>
            </w:r>
          </w:p>
        </w:tc>
        <w:tc>
          <w:tcPr>
            <w:tcW w:type="dxa" w:w="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0.25</w:t>
            </w:r>
          </w:p>
        </w:tc>
        <w:tc>
          <w:tcPr>
            <w:tcW w:type="dxa" w:w="1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 / 2 / 5</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2.33</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0.146</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10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Moderate (8)</w:t>
            </w:r>
          </w:p>
        </w:tc>
      </w:tr>
      <w:tr>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R-WX</w:t>
            </w:r>
          </w:p>
        </w:tc>
        <w:tc>
          <w:tcPr>
            <w:tcW w:type="dxa" w:w="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0.20</w:t>
            </w:r>
          </w:p>
        </w:tc>
        <w:tc>
          <w:tcPr>
            <w:tcW w:type="dxa" w:w="1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 / 2 / 7</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2.67</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0.167</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10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Moderate (8)</w:t>
            </w:r>
          </w:p>
        </w:tc>
      </w:tr>
      <w:tr>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R-PLAN</w:t>
            </w:r>
          </w:p>
        </w:tc>
        <w:tc>
          <w:tcPr>
            <w:tcW w:type="dxa" w:w="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0.10</w:t>
            </w:r>
          </w:p>
        </w:tc>
        <w:tc>
          <w:tcPr>
            <w:tcW w:type="dxa" w:w="1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 / 1 / 3</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1.33</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0.083</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w:t>
            </w:r>
          </w:p>
        </w:tc>
        <w:tc>
          <w:tcPr>
            <w:tcW w:type="dxa" w:w="10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Low (3)</w:t>
            </w:r>
          </w:p>
        </w:tc>
      </w:tr>
      <w:tr>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R-SAFE</w:t>
            </w:r>
          </w:p>
        </w:tc>
        <w:tc>
          <w:tcPr>
            <w:tcW w:type="dxa" w:w="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0.30</w:t>
            </w:r>
          </w:p>
        </w:tc>
        <w:tc>
          <w:tcPr>
            <w:tcW w:type="dxa" w:w="1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 / 2 / 6</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2.50</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0.156</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10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Moderate (8)</w:t>
            </w:r>
          </w:p>
        </w:tc>
      </w:tr>
      <w:tr>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R-SKILL</w:t>
            </w:r>
          </w:p>
        </w:tc>
        <w:tc>
          <w:tcPr>
            <w:tcW w:type="dxa" w:w="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0.22</w:t>
            </w:r>
          </w:p>
        </w:tc>
        <w:tc>
          <w:tcPr>
            <w:tcW w:type="dxa" w:w="1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 / 2 / 5</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2.33</w:t>
            </w:r>
          </w:p>
        </w:tc>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0.146</w:t>
            </w:r>
          </w:p>
        </w:tc>
        <w:tc>
          <w:tcPr>
            <w:tcW w:type="dxa" w:w="11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10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10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Moderate (8)</w:t>
            </w:r>
          </w:p>
        </w:tc>
      </w:tr>
    </w:tbl>
    <w:p>
      <w:pPr>
        <w:spacing w:after="90"/>
      </w:pPr>
      <w:r>
        <w:rPr>
          <w:rFonts w:ascii="Calibri" w:cs="Calibri" w:eastAsia="Calibri" w:hAnsi="Calibri"/>
          <w:i/>
          <w:iCs/>
          <w:color w:val="6B6B62"/>
          <w:sz w:val="21"/>
          <w:szCs w:val="21"/>
        </w:rPr>
        <w:t xml:space="preserve">The class is a label for ordering. The continuous p and delay range stay in the register; the matrix is never used as a time or cost quantity.</w:t>
      </w:r>
    </w:p>
    <w:p>
      <w:pPr>
        <w:pStyle w:val="Heading1"/>
        <w:spacing w:after="110" w:before="300"/>
      </w:pPr>
      <w:r>
        <w:rPr>
          <w:rFonts w:ascii="Calibri" w:cs="Calibri" w:eastAsia="Calibri" w:hAnsi="Calibri"/>
          <w:b/>
          <w:bCs/>
          <w:sz w:val="27"/>
          <w:szCs w:val="27"/>
        </w:rPr>
        <w:t xml:space="preserve">7. Rule engine: how site facts flag risks</w:t>
      </w:r>
    </w:p>
    <w:p>
      <w:pPr>
        <w:spacing w:after="90"/>
      </w:pPr>
      <w:r>
        <w:rPr>
          <w:rFonts w:ascii="Calibri" w:cs="Calibri" w:eastAsia="Calibri" w:hAnsi="Calibri"/>
          <w:b/>
          <w:bCs/>
          <w:color w:val="9A5B00"/>
          <w:sz w:val="21"/>
          <w:szCs w:val="21"/>
        </w:rPr>
        <w:t xml:space="preserve">ILLUSTRATIVE site facts from the example case.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800"/>
        <w:gridCol w:w="3500"/>
        <w:gridCol w:w="3166"/>
      </w:tblGrid>
      <w:tr>
        <w:trPr>
          <w:tblHeader/>
        </w:trPr>
        <w:tc>
          <w:tcPr>
            <w:tcW w:type="dxa" w:w="38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Rule</w:t>
            </w:r>
          </w:p>
        </w:tc>
        <w:tc>
          <w:tcPr>
            <w:tcW w:type="dxa" w:w="35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Facts entered</w:t>
            </w:r>
          </w:p>
        </w:tc>
        <w:tc>
          <w:tcPr>
            <w:tcW w:type="dxa" w:w="3166"/>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Result</w:t>
            </w:r>
          </w:p>
        </w:tc>
      </w:tr>
      <w:tr>
        <w:tc>
          <w:tcPr>
            <w:tcW w:type="dxa" w:w="3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RL-MAT: lead time &gt; buffer</w:t>
            </w:r>
          </w:p>
        </w:tc>
        <w:tc>
          <w:tcPr>
            <w:tcW w:type="dxa" w:w="3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lead time 6 days, buffer 3 days → 6 &gt; 3</w:t>
            </w:r>
          </w:p>
        </w:tc>
        <w:tc>
          <w:tcPr>
            <w:tcW w:type="dxa" w:w="31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 elevated</w:t>
            </w:r>
          </w:p>
        </w:tc>
      </w:tr>
      <w:tr>
        <w:tc>
          <w:tcPr>
            <w:tcW w:type="dxa" w:w="3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RL-LAB: workers needed &gt; available</w:t>
            </w:r>
          </w:p>
        </w:tc>
        <w:tc>
          <w:tcPr>
            <w:tcW w:type="dxa" w:w="3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needed 6, available 5 → 6 &gt; 5</w:t>
            </w:r>
          </w:p>
        </w:tc>
        <w:tc>
          <w:tcPr>
            <w:tcW w:type="dxa" w:w="31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R-LAB elevated</w:t>
            </w:r>
          </w:p>
        </w:tc>
      </w:tr>
      <w:tr>
        <w:tc>
          <w:tcPr>
            <w:tcW w:type="dxa" w:w="3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RL-MAT2: stock days &lt; planned duration</w:t>
            </w:r>
          </w:p>
        </w:tc>
        <w:tc>
          <w:tcPr>
            <w:tcW w:type="dxa" w:w="3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stock 2 days, planned 16 days → 2 &lt; 16</w:t>
            </w:r>
          </w:p>
        </w:tc>
        <w:tc>
          <w:tcPr>
            <w:tcW w:type="dxa" w:w="31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 elevated (second rule)</w:t>
            </w:r>
          </w:p>
        </w:tc>
      </w:tr>
      <w:tr>
        <w:tc>
          <w:tcPr>
            <w:tcW w:type="dxa" w:w="3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RL-WX: monsoon overlap = true</w:t>
            </w:r>
          </w:p>
        </w:tc>
        <w:tc>
          <w:tcPr>
            <w:tcW w:type="dxa" w:w="3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monsoon_overlap true</w:t>
            </w:r>
          </w:p>
        </w:tc>
        <w:tc>
          <w:tcPr>
            <w:tcW w:type="dxa" w:w="31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R-WX elevated</w:t>
            </w:r>
          </w:p>
        </w:tc>
      </w:tr>
      <w:tr>
        <w:tc>
          <w:tcPr>
            <w:tcW w:type="dxa" w:w="38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RL-TOOL: tools shortage = true</w:t>
            </w:r>
          </w:p>
        </w:tc>
        <w:tc>
          <w:tcPr>
            <w:tcW w:type="dxa" w:w="3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tools_shortage false</w:t>
            </w:r>
          </w:p>
        </w:tc>
        <w:tc>
          <w:tcPr>
            <w:tcW w:type="dxa" w:w="31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Does not fire</w:t>
            </w:r>
          </w:p>
        </w:tc>
      </w:tr>
    </w:tbl>
    <w:p>
      <w:pPr>
        <w:spacing w:after="90"/>
      </w:pPr>
      <w:r>
        <w:rPr>
          <w:rFonts w:ascii="Calibri" w:cs="Calibri" w:eastAsia="Calibri" w:hAnsi="Calibri"/>
          <w:sz w:val="21"/>
          <w:szCs w:val="21"/>
        </w:rPr>
        <w:t xml:space="preserve">A flagged risk that is not in the register is added automatically with empty numbers; it then shows on the matrix from its literature seed (step 5) until real numbers are entered.</w:t>
      </w:r>
    </w:p>
    <w:p>
      <w:pPr>
        <w:pStyle w:val="Heading1"/>
        <w:spacing w:after="110" w:before="300"/>
      </w:pPr>
      <w:r>
        <w:rPr>
          <w:rFonts w:ascii="Calibri" w:cs="Calibri" w:eastAsia="Calibri" w:hAnsi="Calibri"/>
          <w:b/>
          <w:bCs/>
          <w:sz w:val="27"/>
          <w:szCs w:val="27"/>
        </w:rPr>
        <w:t xml:space="preserve">8. Validation: Spearman rank correlation against a held-out study</w:t>
      </w:r>
    </w:p>
    <w:p>
      <w:pPr>
        <w:spacing w:after="90"/>
      </w:pPr>
      <w:r>
        <w:rPr>
          <w:rFonts w:ascii="Calibri" w:cs="Calibri" w:eastAsia="Calibri" w:hAnsi="Calibri"/>
          <w:sz w:val="21"/>
          <w:szCs w:val="21"/>
        </w:rPr>
        <w:t xml:space="preserve">Compare our seed order with the order in a study the model did not use. Hand-worked example on the nine original core risks that Adebowale &amp; Agumba 2023 (M10, a pooled analysis of 10 surveys) also cover. These nine have no tied values, so the shortcut formula is exact. Ranks here are within the nine.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1500"/>
        <w:gridCol w:w="1500"/>
        <w:gridCol w:w="1500"/>
        <w:gridCol w:w="1666"/>
      </w:tblGrid>
      <w:tr>
        <w:trPr>
          <w:tblHeader/>
        </w:trPr>
        <w:tc>
          <w:tcPr>
            <w:tcW w:type="dxa" w:w="13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Risk</w:t>
            </w:r>
          </w:p>
        </w:tc>
        <w:tc>
          <w:tcPr>
            <w:tcW w:type="dxa" w:w="15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Seed rank (of 9)</w:t>
            </w:r>
          </w:p>
        </w:tc>
        <w:tc>
          <w:tcPr>
            <w:tcW w:type="dxa" w:w="15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M10 RII</w:t>
            </w:r>
          </w:p>
        </w:tc>
        <w:tc>
          <w:tcPr>
            <w:tcW w:type="dxa" w:w="15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M10 rank (of 9)</w:t>
            </w:r>
          </w:p>
        </w:tc>
        <w:tc>
          <w:tcPr>
            <w:tcW w:type="dxa" w:w="15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d = difference</w:t>
            </w:r>
          </w:p>
        </w:tc>
        <w:tc>
          <w:tcPr>
            <w:tcW w:type="dxa" w:w="15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d²</w:t>
            </w:r>
          </w:p>
        </w:tc>
        <w:tc>
          <w:tcPr>
            <w:tcW w:type="dxa" w:w="1666"/>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
            </w:r>
          </w:p>
        </w:tc>
      </w:tr>
      <w:tr>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0.775</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1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
            </w:r>
          </w:p>
        </w:tc>
      </w:tr>
      <w:tr>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R-TOOL</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8</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0.691</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8</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w:t>
            </w:r>
          </w:p>
        </w:tc>
        <w:tc>
          <w:tcPr>
            <w:tcW w:type="dxa" w:w="1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
            </w:r>
          </w:p>
        </w:tc>
      </w:tr>
      <w:tr>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R-LAB</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5</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0.660</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9</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16</w:t>
            </w:r>
          </w:p>
        </w:tc>
        <w:tc>
          <w:tcPr>
            <w:tcW w:type="dxa" w:w="1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
            </w:r>
          </w:p>
        </w:tc>
      </w:tr>
      <w:tr>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R-SKILL</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0.801</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1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
            </w:r>
          </w:p>
        </w:tc>
      </w:tr>
      <w:tr>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R-PLAN</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0.698</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7</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16</w:t>
            </w:r>
          </w:p>
        </w:tc>
        <w:tc>
          <w:tcPr>
            <w:tcW w:type="dxa" w:w="1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
            </w:r>
          </w:p>
        </w:tc>
      </w:tr>
      <w:tr>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R-WX</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9</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0.715</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6</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9</w:t>
            </w:r>
          </w:p>
        </w:tc>
        <w:tc>
          <w:tcPr>
            <w:tcW w:type="dxa" w:w="1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
            </w:r>
          </w:p>
        </w:tc>
      </w:tr>
      <w:tr>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R-RWK</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7</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0.761</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9</w:t>
            </w:r>
          </w:p>
        </w:tc>
        <w:tc>
          <w:tcPr>
            <w:tcW w:type="dxa" w:w="1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
            </w:r>
          </w:p>
        </w:tc>
      </w:tr>
      <w:tr>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R-PAY</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0.751</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5</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w:t>
            </w:r>
          </w:p>
        </w:tc>
        <w:tc>
          <w:tcPr>
            <w:tcW w:type="dxa" w:w="1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
            </w:r>
          </w:p>
        </w:tc>
      </w:tr>
      <w:tr>
        <w:tc>
          <w:tcPr>
            <w:tcW w:type="dxa" w:w="1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R-DES</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6</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0.776</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w:t>
            </w:r>
          </w:p>
        </w:tc>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16</w:t>
            </w:r>
          </w:p>
        </w:tc>
        <w:tc>
          <w:tcPr>
            <w:tcW w:type="dxa" w:w="1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Σd² = 72</w:t>
            </w:r>
          </w:p>
        </w:tc>
      </w:tr>
    </w:tbl>
    <w:p>
      <w:pPr>
        <w:shd w:fill="F1F1E8" w:color="auto" w:val="clear"/>
        <w:spacing w:after="70"/>
        <w:ind w:left="360"/>
      </w:pPr>
      <w:r>
        <w:rPr>
          <w:rFonts w:ascii="Consolas" w:cs="Consolas" w:eastAsia="Consolas" w:hAnsi="Consolas"/>
          <w:sz w:val="20"/>
          <w:szCs w:val="20"/>
        </w:rPr>
        <w:t xml:space="preserve">ρ = 1 − 6 × Σd² / (n × (n² − 1)) = 1 − 6 × 72 / (9 × 80) = 1 − 432 / 720 = 0.40</w:t>
      </w:r>
    </w:p>
    <w:p>
      <w:pPr>
        <w:shd w:fill="F1F1E8" w:color="auto" w:val="clear"/>
        <w:spacing w:after="70"/>
        <w:ind w:left="360"/>
      </w:pPr>
      <w:r>
        <w:rPr>
          <w:rFonts w:ascii="Consolas" w:cs="Consolas" w:eastAsia="Consolas" w:hAnsi="Consolas"/>
          <w:sz w:val="20"/>
          <w:szCs w:val="20"/>
        </w:rPr>
        <w:t xml:space="preserve">t = ρ × √((n − 2) / (1 − ρ²)) = 0.40 × √(7 / 0.84) = 1.155  → two-tailed p = 0.29 (7 degrees of freedom)</w:t>
      </w:r>
    </w:p>
    <w:p>
      <w:pPr>
        <w:spacing w:after="90"/>
      </w:pPr>
      <w:r>
        <w:rPr>
          <w:rFonts w:ascii="Calibri" w:cs="Calibri" w:eastAsia="Calibri" w:hAnsi="Calibri"/>
          <w:sz w:val="21"/>
          <w:szCs w:val="21"/>
        </w:rPr>
        <w:t xml:space="preserve">The same test on the full library (all risks that both the seed and the study cover; ties handled by average ranks, so computed by the script rather than by hand): M10 ρ = 0.28 (19 risks, p = 0.24); Brazil managers (M15) ρ = 0.63 (11 risks, p = 0.039); Indonesia workers (M14) ρ = −0.18 (13 risks, p = 0.55). Only M15 falls below 0.05, and one of three tests does not survive a multiple-test correction (threshold 0.017). Report it as a hint of agreement with manager-side surveys, not as a validation. On the original nine-to-seven-risk comparisons the results were M10 0.40, M15 0.36 and M14 −0.68, none significant.</w:t>
      </w:r>
    </w:p>
    <w:p>
      <w:pPr>
        <w:pStyle w:val="Heading1"/>
        <w:spacing w:after="110" w:before="300"/>
      </w:pPr>
      <w:r>
        <w:rPr>
          <w:rFonts w:ascii="Calibri" w:cs="Calibri" w:eastAsia="Calibri" w:hAnsi="Calibri"/>
          <w:b/>
          <w:bCs/>
          <w:sz w:val="27"/>
          <w:szCs w:val="27"/>
        </w:rPr>
        <w:t xml:space="preserve">9. Sensitivity: which risks change level when the inputs move?</w:t>
      </w:r>
    </w:p>
    <w:p>
      <w:pPr>
        <w:spacing w:after="90"/>
      </w:pPr>
      <w:r>
        <w:rPr>
          <w:rFonts w:ascii="Calibri" w:cs="Calibri" w:eastAsia="Calibri" w:hAnsi="Calibri"/>
          <w:b/>
          <w:bCs/>
          <w:color w:val="9A5B00"/>
          <w:sz w:val="21"/>
          <w:szCs w:val="21"/>
        </w:rPr>
        <w:t xml:space="preserve">ILLUSTRATIVE example case. Method: change one input by ±20% (others fixed) and recompute the class, using the same steps as section 6.</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900"/>
        <w:gridCol w:w="1900"/>
        <w:gridCol w:w="2866"/>
      </w:tblGrid>
      <w:tr>
        <w:trPr>
          <w:tblHeader/>
        </w:trPr>
        <w:tc>
          <w:tcPr>
            <w:tcW w:type="dxa" w:w="15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Risk</w:t>
            </w:r>
          </w:p>
        </w:tc>
        <w:tc>
          <w:tcPr>
            <w:tcW w:type="dxa" w:w="23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Change</w:t>
            </w:r>
          </w:p>
        </w:tc>
        <w:tc>
          <w:tcPr>
            <w:tcW w:type="dxa" w:w="19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New value</w:t>
            </w:r>
          </w:p>
        </w:tc>
        <w:tc>
          <w:tcPr>
            <w:tcW w:type="dxa" w:w="19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Classes (p, impact)</w:t>
            </w:r>
          </w:p>
        </w:tc>
        <w:tc>
          <w:tcPr>
            <w:tcW w:type="dxa" w:w="2866"/>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Level</w:t>
            </w:r>
          </w:p>
        </w:tc>
      </w:tr>
      <w:tr>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w:t>
            </w:r>
          </w:p>
        </w:tc>
        <w:tc>
          <w:tcPr>
            <w:tcW w:type="dxa" w:w="2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none (base)</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 0.50, mean 3.50 d</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3, 5</w:t>
            </w:r>
          </w:p>
        </w:tc>
        <w:tc>
          <w:tcPr>
            <w:tcW w:type="dxa" w:w="28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High (15)</w:t>
            </w:r>
          </w:p>
        </w:tc>
      </w:tr>
      <w:tr>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w:t>
            </w:r>
          </w:p>
        </w:tc>
        <w:tc>
          <w:tcPr>
            <w:tcW w:type="dxa" w:w="2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 −20%</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 0.40</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3, 5</w:t>
            </w:r>
          </w:p>
        </w:tc>
        <w:tc>
          <w:tcPr>
            <w:tcW w:type="dxa" w:w="28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High (15), unchanged</w:t>
            </w:r>
          </w:p>
        </w:tc>
      </w:tr>
      <w:tr>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w:t>
            </w:r>
          </w:p>
        </w:tc>
        <w:tc>
          <w:tcPr>
            <w:tcW w:type="dxa" w:w="2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 +20%</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 0.60</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4, 5</w:t>
            </w:r>
          </w:p>
        </w:tc>
        <w:tc>
          <w:tcPr>
            <w:tcW w:type="dxa" w:w="28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Extreme (20), moves up</w:t>
            </w:r>
          </w:p>
        </w:tc>
      </w:tr>
      <w:tr>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w:t>
            </w:r>
          </w:p>
        </w:tc>
        <w:tc>
          <w:tcPr>
            <w:tcW w:type="dxa" w:w="2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delay −20%</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mean 2.80 d (ratio 0.175)</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3, 4</w:t>
            </w:r>
          </w:p>
        </w:tc>
        <w:tc>
          <w:tcPr>
            <w:tcW w:type="dxa" w:w="28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High (12), unchanged level, lower score</w:t>
            </w:r>
          </w:p>
        </w:tc>
      </w:tr>
      <w:tr>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R-MAT</w:t>
            </w:r>
          </w:p>
        </w:tc>
        <w:tc>
          <w:tcPr>
            <w:tcW w:type="dxa" w:w="2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delay +20%</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mean 4.20 d (ratio 0.263)</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3, 5</w:t>
            </w:r>
          </w:p>
        </w:tc>
        <w:tc>
          <w:tcPr>
            <w:tcW w:type="dxa" w:w="28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High (15), unchanged</w:t>
            </w:r>
          </w:p>
        </w:tc>
      </w:tr>
      <w:tr>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R-LAB</w:t>
            </w:r>
          </w:p>
        </w:tc>
        <w:tc>
          <w:tcPr>
            <w:tcW w:type="dxa" w:w="2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 +20%</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 0.42</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3, 4</w:t>
            </w:r>
          </w:p>
        </w:tc>
        <w:tc>
          <w:tcPr>
            <w:tcW w:type="dxa" w:w="28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High (12), moves up</w:t>
            </w:r>
          </w:p>
        </w:tc>
      </w:tr>
      <w:tr>
        <w:tc>
          <w:tcPr>
            <w:tcW w:type="dxa" w:w="15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R-LAB</w:t>
            </w:r>
          </w:p>
        </w:tc>
        <w:tc>
          <w:tcPr>
            <w:tcW w:type="dxa" w:w="23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 −20%, delay ±20%</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w:t>
            </w:r>
          </w:p>
        </w:tc>
        <w:tc>
          <w:tcPr>
            <w:tcW w:type="dxa" w:w="19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2, 4</w:t>
            </w:r>
          </w:p>
        </w:tc>
        <w:tc>
          <w:tcPr>
            <w:tcW w:type="dxa" w:w="28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Moderate (8), unchanged</w:t>
            </w:r>
          </w:p>
        </w:tc>
      </w:tr>
    </w:tbl>
    <w:p>
      <w:pPr>
        <w:spacing w:after="90"/>
      </w:pPr>
      <w:r>
        <w:rPr>
          <w:rFonts w:ascii="Calibri" w:cs="Calibri" w:eastAsia="Calibri" w:hAnsi="Calibri"/>
          <w:sz w:val="21"/>
          <w:szCs w:val="21"/>
        </w:rPr>
        <w:t xml:space="preserve">Reading: R-MAT and R-LAB sit close to a class boundary on probability, so a 20% change in p can move their level. Risks far from a boundary stay put. A full table for all risks and both inputs is the next step; the same calculation can be run for every risk in the app.</w:t>
      </w:r>
    </w:p>
    <w:p>
      <w:pPr>
        <w:pStyle w:val="Heading1"/>
        <w:spacing w:after="110" w:before="300"/>
      </w:pPr>
      <w:r>
        <w:rPr>
          <w:rFonts w:ascii="Calibri" w:cs="Calibri" w:eastAsia="Calibri" w:hAnsi="Calibri"/>
          <w:b/>
          <w:bCs/>
          <w:sz w:val="27"/>
          <w:szCs w:val="27"/>
        </w:rPr>
        <w:t xml:space="preserve">10. Own evidence: expert survey and site comparison</w:t>
      </w:r>
    </w:p>
    <w:p>
      <w:pPr>
        <w:pStyle w:val="Heading2"/>
        <w:spacing w:after="70" w:before="180"/>
      </w:pPr>
      <w:r>
        <w:rPr>
          <w:rFonts w:ascii="Calibri" w:cs="Calibri" w:eastAsia="Calibri" w:hAnsi="Calibri"/>
          <w:b/>
          <w:bCs/>
          <w:sz w:val="23"/>
          <w:szCs w:val="23"/>
        </w:rPr>
        <w:t xml:space="preserve">Expert survey RII (primary data)</w:t>
      </w:r>
    </w:p>
    <w:p>
      <w:pPr>
        <w:spacing w:after="90"/>
      </w:pPr>
      <w:r>
        <w:rPr>
          <w:rFonts w:ascii="Calibri" w:cs="Calibri" w:eastAsia="Calibri" w:hAnsi="Calibri"/>
          <w:b/>
          <w:bCs/>
          <w:color w:val="9A5B00"/>
          <w:sz w:val="21"/>
          <w:szCs w:val="21"/>
        </w:rPr>
        <w:t xml:space="preserve">ILLUSTRATIVE five-respondent example showing the arithmetic only; not real responses.</w:t>
      </w:r>
    </w:p>
    <w:p>
      <w:pPr>
        <w:shd w:fill="F1F1E8" w:color="auto" w:val="clear"/>
        <w:spacing w:after="70"/>
        <w:ind w:left="360"/>
      </w:pPr>
      <w:r>
        <w:rPr>
          <w:rFonts w:ascii="Consolas" w:cs="Consolas" w:eastAsia="Consolas" w:hAnsi="Consolas"/>
          <w:sz w:val="20"/>
          <w:szCs w:val="20"/>
        </w:rPr>
        <w:t xml:space="preserve">Importance ratings for one risk from 5 respondents: 4, 5, 3, 4, 4   → sum = 20</w:t>
      </w:r>
    </w:p>
    <w:p>
      <w:pPr>
        <w:shd w:fill="F1F1E8" w:color="auto" w:val="clear"/>
        <w:spacing w:after="70"/>
        <w:ind w:left="360"/>
      </w:pPr>
      <w:r>
        <w:rPr>
          <w:rFonts w:ascii="Consolas" w:cs="Consolas" w:eastAsia="Consolas" w:hAnsi="Consolas"/>
          <w:sz w:val="20"/>
          <w:szCs w:val="20"/>
        </w:rPr>
        <w:t xml:space="preserve">RII = 20 / (5 × 5) = 20 / 25 = 0.80</w:t>
      </w:r>
    </w:p>
    <w:p>
      <w:pPr>
        <w:shd w:fill="F1F1E8" w:color="auto" w:val="clear"/>
        <w:spacing w:after="70"/>
        <w:ind w:left="360"/>
      </w:pPr>
      <w:r>
        <w:rPr>
          <w:rFonts w:ascii="Consolas" w:cs="Consolas" w:eastAsia="Consolas" w:hAnsi="Consolas"/>
          <w:sz w:val="20"/>
          <w:szCs w:val="20"/>
        </w:rPr>
        <w:t xml:space="preserve">Risk index per respondent = frequency × impact (each 1 to 5, so 1 to 25); average over respondents, then rank the risks.</w:t>
      </w:r>
    </w:p>
    <w:p>
      <w:pPr>
        <w:shd w:fill="F1F1E8" w:color="auto" w:val="clear"/>
        <w:spacing w:after="70"/>
        <w:ind w:left="360"/>
      </w:pPr>
      <w:r>
        <w:rPr>
          <w:rFonts w:ascii="Consolas" w:cs="Consolas" w:eastAsia="Consolas" w:hAnsi="Consolas"/>
          <w:sz w:val="20"/>
          <w:szCs w:val="20"/>
        </w:rPr>
        <w:t xml:space="preserve">Compare the survey ranking with the seed ranking using the same Spearman steps as section 8.</w:t>
      </w:r>
    </w:p>
    <w:p>
      <w:pPr>
        <w:pStyle w:val="Heading2"/>
        <w:spacing w:after="70" w:before="180"/>
      </w:pPr>
      <w:r>
        <w:rPr>
          <w:rFonts w:ascii="Calibri" w:cs="Calibri" w:eastAsia="Calibri" w:hAnsi="Calibri"/>
          <w:b/>
          <w:bCs/>
          <w:sz w:val="23"/>
          <w:szCs w:val="23"/>
        </w:rPr>
        <w:t xml:space="preserve">Site records (phase 2)</w:t>
      </w:r>
    </w:p>
    <w:p>
      <w:pPr>
        <w:spacing w:after="90"/>
      </w:pPr>
      <w:r>
        <w:rPr>
          <w:rFonts w:ascii="Calibri" w:cs="Calibri" w:eastAsia="Calibri" w:hAnsi="Calibri"/>
          <w:b/>
          <w:bCs/>
          <w:color w:val="9A5B00"/>
          <w:sz w:val="21"/>
          <w:szCs w:val="21"/>
        </w:rPr>
        <w:t xml:space="preserve">ILLUSTRATIVE numbers showing the formulas.</w:t>
      </w:r>
    </w:p>
    <w:p>
      <w:pPr>
        <w:shd w:fill="F1F1E8" w:color="auto" w:val="clear"/>
        <w:spacing w:after="70"/>
        <w:ind w:left="360"/>
      </w:pPr>
      <w:r>
        <w:rPr>
          <w:rFonts w:ascii="Consolas" w:cs="Consolas" w:eastAsia="Consolas" w:hAnsi="Consolas"/>
          <w:sz w:val="20"/>
          <w:szCs w:val="20"/>
        </w:rPr>
        <w:t xml:space="preserve">Hit rate (recall) = risks that occurred AND were flagged / risks that occurred  = 3 / 4 = 75%</w:t>
      </w:r>
    </w:p>
    <w:p>
      <w:pPr>
        <w:shd w:fill="F1F1E8" w:color="auto" w:val="clear"/>
        <w:spacing w:after="70"/>
        <w:ind w:left="360"/>
      </w:pPr>
      <w:r>
        <w:rPr>
          <w:rFonts w:ascii="Consolas" w:cs="Consolas" w:eastAsia="Consolas" w:hAnsi="Consolas"/>
          <w:sz w:val="20"/>
          <w:szCs w:val="20"/>
        </w:rPr>
        <w:t xml:space="preserve">Precision = risks flagged that occurred / risks flagged  = 3 / 5 = 60%</w:t>
      </w:r>
    </w:p>
    <w:p>
      <w:pPr>
        <w:shd w:fill="F1F1E8" w:color="auto" w:val="clear"/>
        <w:spacing w:after="70"/>
        <w:ind w:left="360"/>
      </w:pPr>
      <w:r>
        <w:rPr>
          <w:rFonts w:ascii="Consolas" w:cs="Consolas" w:eastAsia="Consolas" w:hAnsi="Consolas"/>
          <w:sz w:val="20"/>
          <w:szCs w:val="20"/>
        </w:rPr>
        <w:t xml:space="preserve">Probability check over several activities: a risk given p = 0.30 should occur in about 30% of activities (3 of 10).</w:t>
      </w:r>
    </w:p>
    <w:p>
      <w:pPr>
        <w:shd w:fill="F1F1E8" w:color="auto" w:val="clear"/>
        <w:spacing w:after="70"/>
        <w:ind w:left="360"/>
      </w:pPr>
      <w:r>
        <w:rPr>
          <w:rFonts w:ascii="Consolas" w:cs="Consolas" w:eastAsia="Consolas" w:hAnsi="Consolas"/>
          <w:sz w:val="20"/>
          <w:szCs w:val="20"/>
        </w:rPr>
        <w:t xml:space="preserve">Rank check: Spearman correlation between the matrix order and the order of days lost on site.</w:t>
      </w:r>
    </w:p>
    <w:p>
      <w:pPr>
        <w:pStyle w:val="Heading1"/>
        <w:spacing w:after="110" w:before="300"/>
      </w:pPr>
      <w:r>
        <w:rPr>
          <w:rFonts w:ascii="Calibri" w:cs="Calibri" w:eastAsia="Calibri" w:hAnsi="Calibri"/>
          <w:b/>
          <w:bCs/>
          <w:sz w:val="27"/>
          <w:szCs w:val="27"/>
        </w:rPr>
        <w:t xml:space="preserve">11. What is real and what is not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3666"/>
      </w:tblGrid>
      <w:tr>
        <w:trPr>
          <w:tblHeader/>
        </w:trPr>
        <w:tc>
          <w:tcPr>
            <w:tcW w:type="dxa" w:w="32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Part</w:t>
            </w:r>
          </w:p>
        </w:tc>
        <w:tc>
          <w:tcPr>
            <w:tcW w:type="dxa" w:w="3600"/>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Numbers are</w:t>
            </w:r>
          </w:p>
        </w:tc>
        <w:tc>
          <w:tcPr>
            <w:tcW w:type="dxa" w:w="3666"/>
            <w:tcBorders>
              <w:top w:val="single" w:color="8C8C84" w:sz="4"/>
              <w:left w:val="single" w:color="8C8C84" w:sz="4"/>
              <w:bottom w:val="single" w:color="8C8C84" w:sz="4"/>
              <w:right w:val="single" w:color="8C8C84" w:sz="4"/>
            </w:tcBorders>
            <w:shd w:fill="E3E3D8" w:color="auto" w:val="clear"/>
            <w:tcMar>
              <w:top w:type="dxa" w:w="55"/>
              <w:left w:type="dxa" w:w="80"/>
              <w:bottom w:type="dxa" w:w="55"/>
              <w:right w:type="dxa" w:w="80"/>
            </w:tcMar>
          </w:tcPr>
          <w:p>
            <w:pPr>
              <w:jc w:val="left"/>
            </w:pPr>
            <w:r>
              <w:rPr>
                <w:rFonts w:ascii="Calibri" w:cs="Calibri" w:eastAsia="Calibri" w:hAnsi="Calibri"/>
                <w:b/>
                <w:bCs/>
                <w:sz w:val="19"/>
                <w:szCs w:val="19"/>
              </w:rPr>
              <w:t xml:space="preserve">How to describe it</w:t>
            </w:r>
          </w:p>
        </w:tc>
      </w:tr>
      <w:tr>
        <w:tc>
          <w:tcPr>
            <w:tcW w:type="dxa" w:w="3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Steps 1 to 4, 8 (RII, seed, validation)</w:t>
            </w:r>
          </w:p>
        </w:tc>
        <w:tc>
          <w:tcPr>
            <w:tcW w:type="dxa" w:w="36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Real, from 11 published studies</w:t>
            </w:r>
          </w:p>
        </w:tc>
        <w:tc>
          <w:tcPr>
            <w:tcW w:type="dxa" w:w="3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Secondary data analysis; ranking only</w:t>
            </w:r>
          </w:p>
        </w:tc>
      </w:tr>
      <w:tr>
        <w:tc>
          <w:tcPr>
            <w:tcW w:type="dxa" w:w="3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Step 5 (seed placement)</w:t>
            </w:r>
          </w:p>
        </w:tc>
        <w:tc>
          <w:tcPr>
            <w:tcW w:type="dxa" w:w="36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Derived from the real RII values</w:t>
            </w:r>
          </w:p>
        </w:tc>
        <w:tc>
          <w:tcPr>
            <w:tcW w:type="dxa" w:w="3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A relative ranking, not an estimate</w:t>
            </w:r>
          </w:p>
        </w:tc>
      </w:tr>
      <w:tr>
        <w:tc>
          <w:tcPr>
            <w:tcW w:type="dxa" w:w="3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Steps 6, 7, 9 (example case)</w:t>
            </w:r>
          </w:p>
        </w:tc>
        <w:tc>
          <w:tcPr>
            <w:tcW w:type="dxa" w:w="36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ILLUSTRATIVE placeholders</w:t>
            </w:r>
          </w:p>
        </w:tc>
        <w:tc>
          <w:tcPr>
            <w:tcW w:type="dxa" w:w="3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Shows how the tool computes; replace with user data</w:t>
            </w:r>
          </w:p>
        </w:tc>
      </w:tr>
      <w:tr>
        <w:tc>
          <w:tcPr>
            <w:tcW w:type="dxa" w:w="32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Step 10 (survey, site)</w:t>
            </w:r>
          </w:p>
        </w:tc>
        <w:tc>
          <w:tcPr>
            <w:tcW w:type="dxa" w:w="3600"/>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ILLUSTRATIVE for the method; real data to come</w:t>
            </w:r>
          </w:p>
        </w:tc>
        <w:tc>
          <w:tcPr>
            <w:tcW w:type="dxa" w:w="3666"/>
            <w:tcBorders>
              <w:top w:val="single" w:color="8C8C84" w:sz="4"/>
              <w:left w:val="single" w:color="8C8C84" w:sz="4"/>
              <w:bottom w:val="single" w:color="8C8C84" w:sz="4"/>
              <w:right w:val="single" w:color="8C8C84" w:sz="4"/>
            </w:tcBorders>
            <w:tcMar>
              <w:top w:type="dxa" w:w="55"/>
              <w:left w:type="dxa" w:w="80"/>
              <w:bottom w:type="dxa" w:w="55"/>
              <w:right w:type="dxa" w:w="80"/>
            </w:tcMar>
          </w:tcPr>
          <w:p>
            <w:pPr>
              <w:jc w:val="left"/>
            </w:pPr>
            <w:r>
              <w:rPr>
                <w:rFonts w:ascii="Calibri" w:cs="Calibri" w:eastAsia="Calibri" w:hAnsi="Calibri"/>
                <w:b w:val="false"/>
                <w:bCs w:val="false"/>
                <w:sz w:val="19"/>
                <w:szCs w:val="19"/>
              </w:rPr>
              <w:t xml:space="preserve">Plan for primary data and site validation</w:t>
            </w:r>
          </w:p>
        </w:tc>
      </w:tr>
    </w:tbl>
    <w:sectPr>
      <w:footerReference w:type="default" r:id="rId6"/>
      <w:pgSz w:w="11906" w:h="16838" w:orient="portrait"/>
      <w:pgMar w:top="1000" w:right="720" w:bottom="100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2"/>
        <w:sz w:val="16"/>
        <w:szCs w:val="16"/>
      </w:rPr>
      <w:t xml:space="preserve">Bricks-ly worked calculations   |   page </w:t>
    </w:r>
    <w:r>
      <w:rPr>
        <w:rFonts w:ascii="Calibri" w:cs="Calibri" w:eastAsia="Calibri" w:hAnsi="Calibri"/>
        <w:color w:val="6B6B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5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300"/>
      <w:outlineLvl w:val="0"/>
    </w:pPr>
    <w:rPr>
      <w:rFonts w:ascii="Calibri" w:cs="Calibri" w:eastAsia="Calibri" w:hAnsi="Calibri"/>
      <w:b/>
      <w:bCs/>
      <w:sz w:val="27"/>
      <w:szCs w:val="27"/>
    </w:rPr>
  </w:style>
  <w:style w:type="paragraph" w:styleId="Heading2">
    <w:name w:val="Heading 2"/>
    <w:basedOn w:val="Normal"/>
    <w:next w:val="Normal"/>
    <w:qFormat/>
    <w:pPr>
      <w:spacing w:after="70" w:before="180"/>
      <w:outlineLvl w:val="1"/>
    </w:pPr>
    <w:rPr>
      <w:rFonts w:ascii="Calibri" w:cs="Calibri" w:eastAsia="Calibri" w:hAnsi="Calibri"/>
      <w:b/>
      <w:bCs/>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2026-10-06T18:04:33.956Z</dcterms:created>
  <dcterms:modified xsi:type="dcterms:W3CDTF">2026-10-06T18:04:33.957Z</dcterms:modified>
</cp:coreProperties>
</file>

<file path=docProps/custom.xml><?xml version="1.0" encoding="utf-8"?>
<Properties xmlns="http://schemas.openxmlformats.org/officeDocument/2006/custom-properties" xmlns:vt="http://schemas.openxmlformats.org/officeDocument/2006/docPropsVTypes"/>
</file>