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Bricks-ly</w:t>
      </w:r>
    </w:p>
    <w:p>
      <w:r>
        <w:rPr>
          <w:b w:val="0"/>
          <w:i w:val="0"/>
          <w:sz w:val="28"/>
        </w:rPr>
        <w:t>Progress report: delay-risk identification, register and matrix for one brick-masonry activity</w:t>
      </w:r>
    </w:p>
    <w:p>
      <w:r>
        <w:rPr>
          <w:b w:val="0"/>
          <w:i/>
          <w:sz w:val="20"/>
        </w:rPr>
        <w:t>Date: 14 October 2026   |   B.Tech civil engineering final-year project   |   Repository: DrAssassin3214/FYP, pull request #1</w:t>
      </w:r>
    </w:p>
    <w:p>
      <w:pPr>
        <w:pStyle w:val="Heading1"/>
      </w:pPr>
      <w:r>
        <w:t>1. Summary</w:t>
      </w:r>
    </w:p>
    <w:p>
      <w:r>
        <w:rPr>
          <w:b w:val="0"/>
          <w:i w:val="0"/>
        </w:rPr>
        <w:t>Bricks-ly is an offline decision-support tool. For one brick-masonry activity it helps a site engineer list the risks that can delay the work, record each with a probability and a delay range (each number labelled with its Source), and place them on a 5x5 probability-impact matrix. The output is an ordinal prioritisation: labels, not quantities. The tool does not predict days of delay.</w:t>
      </w:r>
    </w:p>
    <w:p>
      <w:pPr>
        <w:pStyle w:val="ListBullet"/>
        <w:spacing w:after="60"/>
      </w:pPr>
      <w:r>
        <w:rPr>
          <w:b/>
        </w:rPr>
        <w:t xml:space="preserve">Built: </w:t>
      </w:r>
      <w:r>
        <w:t>a library of 46 risks, 22 site-fact rules, a literature-based starting ranking (182 published survey values from 11 studies, 5 of them used as the seed), a local web GUI, exports, and an evidence-checked AI suggestion layer that is not allowed to supply numbers.</w:t>
      </w:r>
    </w:p>
    <w:p>
      <w:pPr>
        <w:pStyle w:val="ListBullet"/>
        <w:spacing w:after="60"/>
      </w:pPr>
      <w:r>
        <w:rPr>
          <w:b/>
        </w:rPr>
        <w:t xml:space="preserve">Audited: </w:t>
      </w:r>
      <w:r>
        <w:t>five independent reviews of the engine, error paths, GUI, research data and documents produced 140 findings. Each was triaged; every fix has a test or a command that shows it.</w:t>
      </w:r>
    </w:p>
    <w:p>
      <w:pPr>
        <w:pStyle w:val="ListBullet"/>
        <w:spacing w:after="60"/>
      </w:pPr>
      <w:r>
        <w:rPr>
          <w:b/>
        </w:rPr>
        <w:t xml:space="preserve">Cleaned: </w:t>
      </w:r>
      <w:r>
        <w:t>code that nothing used was removed in one revertable commit, and the routes by which a bad number or an inconsistent data file could reach the output were narrowed.</w:t>
      </w:r>
    </w:p>
    <w:p>
      <w:pPr>
        <w:pStyle w:val="ListBullet"/>
        <w:spacing w:after="60"/>
      </w:pPr>
      <w:r>
        <w:rPr>
          <w:b/>
        </w:rPr>
        <w:t xml:space="preserve">Measured: </w:t>
      </w:r>
      <w:r>
        <w:t>600 automated tests pass (553 before this round); outputs are identical between runs; the GUI no longer scrolls sideways on a phone-width screen (509 px of overflow before).</w:t>
      </w:r>
    </w:p>
    <w:p>
      <w:pPr>
        <w:pStyle w:val="ListBullet"/>
        <w:spacing w:after="60"/>
      </w:pPr>
      <w:r>
        <w:rPr>
          <w:b/>
        </w:rPr>
        <w:t xml:space="preserve">Not yet done: </w:t>
      </w:r>
      <w:r>
        <w:t>the tool has not been compared with real site data. The next phase compares it with a proper industrial baseline: an MS Project or Primavera schedule from one site (Section 7).</w:t>
      </w:r>
    </w:p>
    <w:p>
      <w:pPr>
        <w:pStyle w:val="Heading1"/>
      </w:pPr>
      <w:r>
        <w:t>2. Scope and how the tool works</w:t>
      </w:r>
    </w:p>
    <w:p>
      <w:r>
        <w:rPr>
          <w:b w:val="0"/>
          <w:i w:val="0"/>
        </w:rPr>
        <w:t>Current scope (since 2026-09-28): risk identification, risk register and a 5x5 probability-impact matrix for one brick or block masonry activity. The official project title describes a larger scope (labour productivity and delay-risk prediction using managerial factors); the difference is an open decision for the supervisor (Section 8).</w:t>
      </w:r>
    </w:p>
    <w:p>
      <w:pPr>
        <w:pStyle w:val="Heading2"/>
      </w:pPr>
      <w:r>
        <w:t>2.1 Workflow</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361"/>
            <w:shd w:val="clear" w:color="auto" w:fill="B85042"/>
          </w:tcPr>
          <w:p>
            <w:r/>
            <w:r>
              <w:rPr>
                <w:b/>
                <w:color w:val="FFFFFF"/>
                <w:sz w:val="20"/>
              </w:rPr>
              <w:t>Step</w:t>
            </w:r>
          </w:p>
        </w:tc>
        <w:tc>
          <w:tcPr>
            <w:tcW w:type="dxa" w:w="4535"/>
            <w:shd w:val="clear" w:color="auto" w:fill="B85042"/>
          </w:tcPr>
          <w:p>
            <w:r/>
            <w:r>
              <w:rPr>
                <w:b/>
                <w:color w:val="FFFFFF"/>
                <w:sz w:val="20"/>
              </w:rPr>
              <w:t>What happens</w:t>
            </w:r>
          </w:p>
        </w:tc>
        <w:tc>
          <w:tcPr>
            <w:tcW w:type="dxa" w:w="3288"/>
            <w:shd w:val="clear" w:color="auto" w:fill="B85042"/>
          </w:tcPr>
          <w:p>
            <w:r/>
            <w:r>
              <w:rPr>
                <w:b/>
                <w:color w:val="FFFFFF"/>
                <w:sz w:val="20"/>
              </w:rPr>
              <w:t>Rule that keeps it honest</w:t>
            </w:r>
          </w:p>
        </w:tc>
      </w:tr>
      <w:tr>
        <w:tc>
          <w:tcPr>
            <w:tcW w:type="dxa" w:w="1361"/>
            <w:shd w:val="clear" w:color="auto" w:fill="F3EEEA"/>
          </w:tcPr>
          <w:p>
            <w:r/>
            <w:r>
              <w:rPr>
                <w:b/>
                <w:sz w:val="20"/>
              </w:rPr>
              <w:t>1 Identify</w:t>
            </w:r>
          </w:p>
        </w:tc>
        <w:tc>
          <w:tcPr>
            <w:tcW w:type="dxa" w:w="4535"/>
            <w:shd w:val="clear" w:color="auto" w:fill="F3EEEA"/>
          </w:tcPr>
          <w:p>
            <w:r/>
            <w:r>
              <w:rPr>
                <w:sz w:val="20"/>
              </w:rPr>
              <w:t>Pick risks from the library of 46; 22 site-fact rules flag risks as elevated from facts such as workers available versus required; AI suggestions are retrieval-based and cited.</w:t>
            </w:r>
          </w:p>
        </w:tc>
        <w:tc>
          <w:tcPr>
            <w:tcW w:type="dxa" w:w="3288"/>
            <w:shd w:val="clear" w:color="auto" w:fill="F3EEEA"/>
          </w:tcPr>
          <w:p>
            <w:r/>
            <w:r>
              <w:rPr>
                <w:sz w:val="20"/>
              </w:rPr>
              <w:t>AI output may name risks and cite evidence ids but may not give numbers; a quote must be a real passage of a cited record.</w:t>
            </w:r>
          </w:p>
        </w:tc>
      </w:tr>
      <w:tr>
        <w:tc>
          <w:tcPr>
            <w:tcW w:type="dxa" w:w="1361"/>
            <w:shd w:val="clear" w:color="auto" w:fill="F3EEEA"/>
          </w:tcPr>
          <w:p>
            <w:r/>
            <w:r>
              <w:rPr>
                <w:b/>
                <w:sz w:val="20"/>
              </w:rPr>
              <w:t>2 Register</w:t>
            </w:r>
          </w:p>
        </w:tc>
        <w:tc>
          <w:tcPr>
            <w:tcW w:type="dxa" w:w="4535"/>
            <w:shd w:val="clear" w:color="auto" w:fill="F3EEEA"/>
          </w:tcPr>
          <w:p>
            <w:r/>
            <w:r>
              <w:rPr>
                <w:sz w:val="20"/>
              </w:rPr>
              <w:t>For each risk enter a probability p and a delay range (minimum, most likely, maximum).</w:t>
            </w:r>
          </w:p>
        </w:tc>
        <w:tc>
          <w:tcPr>
            <w:tcW w:type="dxa" w:w="3288"/>
            <w:shd w:val="clear" w:color="auto" w:fill="F3EEEA"/>
          </w:tcPr>
          <w:p>
            <w:r/>
            <w:r>
              <w:rPr>
                <w:sz w:val="20"/>
              </w:rPr>
              <w:t>Every number needs a Source (for example Site Data, Expert Judgment, Assumption).</w:t>
            </w:r>
          </w:p>
        </w:tc>
      </w:tr>
      <w:tr>
        <w:tc>
          <w:tcPr>
            <w:tcW w:type="dxa" w:w="1361"/>
            <w:shd w:val="clear" w:color="auto" w:fill="F3EEEA"/>
          </w:tcPr>
          <w:p>
            <w:r/>
            <w:r>
              <w:rPr>
                <w:b/>
                <w:sz w:val="20"/>
              </w:rPr>
              <w:t>3 Matrix</w:t>
            </w:r>
          </w:p>
        </w:tc>
        <w:tc>
          <w:tcPr>
            <w:tcW w:type="dxa" w:w="4535"/>
            <w:shd w:val="clear" w:color="auto" w:fill="F3EEEA"/>
          </w:tcPr>
          <w:p>
            <w:r/>
            <w:r>
              <w:rPr>
                <w:sz w:val="20"/>
              </w:rPr>
              <w:t>Probability class (5 bins) and impact class (delay as a fraction of the planned duration, 5 bins) combine into a level: Low, Moderate, High, Extreme.</w:t>
            </w:r>
          </w:p>
        </w:tc>
        <w:tc>
          <w:tcPr>
            <w:tcW w:type="dxa" w:w="3288"/>
            <w:shd w:val="clear" w:color="auto" w:fill="F3EEEA"/>
          </w:tcPr>
          <w:p>
            <w:r/>
            <w:r>
              <w:rPr>
                <w:sz w:val="20"/>
              </w:rPr>
              <w:t>Class edges are editable assumptions and are printed in every export.</w:t>
            </w:r>
          </w:p>
        </w:tc>
      </w:tr>
      <w:tr>
        <w:tc>
          <w:tcPr>
            <w:tcW w:type="dxa" w:w="1361"/>
            <w:shd w:val="clear" w:color="auto" w:fill="F3EEEA"/>
          </w:tcPr>
          <w:p>
            <w:r/>
            <w:r>
              <w:rPr>
                <w:b/>
                <w:sz w:val="20"/>
              </w:rPr>
              <w:t>4 Export</w:t>
            </w:r>
          </w:p>
        </w:tc>
        <w:tc>
          <w:tcPr>
            <w:tcW w:type="dxa" w:w="4535"/>
            <w:shd w:val="clear" w:color="auto" w:fill="F3EEEA"/>
          </w:tcPr>
          <w:p>
            <w:r/>
            <w:r>
              <w:rPr>
                <w:sz w:val="20"/>
              </w:rPr>
              <w:t>report.html, matrix png/svg, register md/csv, case JSON.</w:t>
            </w:r>
          </w:p>
        </w:tc>
        <w:tc>
          <w:tcPr>
            <w:tcW w:type="dxa" w:w="3288"/>
            <w:shd w:val="clear" w:color="auto" w:fill="F3EEEA"/>
          </w:tcPr>
          <w:p>
            <w:r/>
            <w:r>
              <w:rPr>
                <w:sz w:val="20"/>
              </w:rPr>
              <w:t>Illustrative cases are labelled ILLUSTRATIVE in every export.</w:t>
            </w:r>
          </w:p>
        </w:tc>
      </w:tr>
    </w:tbl>
    <w:p>
      <w:pPr>
        <w:spacing w:after="40"/>
      </w:pPr>
    </w:p>
    <w:p>
      <w:pPr>
        <w:pStyle w:val="Heading2"/>
      </w:pPr>
      <w:r>
        <w:t>2.2 Literature starting position</w:t>
      </w:r>
    </w:p>
    <w:p>
      <w:r>
        <w:rPr>
          <w:b w:val="0"/>
          <w:i w:val="0"/>
        </w:rPr>
        <w:t>A risk with no entered numbers is not left blank: it is placed on the matrix at a labelled literature tier (Assumption). The tier comes from survey Relative Importance Index (RII) values. An RII measures how important respondents rated a factor; it is not a probability and not a number of days. The tier is therefore a starting position to be replaced by site or expert data.</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3515"/>
            <w:shd w:val="clear" w:color="auto" w:fill="B85042"/>
          </w:tcPr>
          <w:p>
            <w:r/>
            <w:r>
              <w:rPr>
                <w:b/>
                <w:color w:val="FFFFFF"/>
                <w:sz w:val="20"/>
              </w:rPr>
              <w:t>Fact</w:t>
            </w:r>
          </w:p>
        </w:tc>
        <w:tc>
          <w:tcPr>
            <w:tcW w:type="dxa" w:w="2948"/>
            <w:shd w:val="clear" w:color="auto" w:fill="B85042"/>
          </w:tcPr>
          <w:p>
            <w:r/>
            <w:r>
              <w:rPr>
                <w:b/>
                <w:color w:val="FFFFFF"/>
                <w:sz w:val="20"/>
              </w:rPr>
              <w:t>Value</w:t>
            </w:r>
          </w:p>
        </w:tc>
        <w:tc>
          <w:tcPr>
            <w:tcW w:type="dxa" w:w="2721"/>
            <w:shd w:val="clear" w:color="auto" w:fill="B85042"/>
          </w:tcPr>
          <w:p>
            <w:r/>
            <w:r>
              <w:rPr>
                <w:b/>
                <w:color w:val="FFFFFF"/>
                <w:sz w:val="20"/>
              </w:rPr>
              <w:t>Source file</w:t>
            </w:r>
          </w:p>
        </w:tc>
      </w:tr>
      <w:tr>
        <w:tc>
          <w:tcPr>
            <w:tcW w:type="dxa" w:w="3515"/>
            <w:shd w:val="clear" w:color="auto" w:fill="F3EEEA"/>
          </w:tcPr>
          <w:p>
            <w:r/>
            <w:r>
              <w:rPr>
                <w:b/>
                <w:sz w:val="20"/>
              </w:rPr>
              <w:t>Published surveys in the dataset</w:t>
            </w:r>
          </w:p>
        </w:tc>
        <w:tc>
          <w:tcPr>
            <w:tcW w:type="dxa" w:w="2948"/>
            <w:shd w:val="clear" w:color="auto" w:fill="F3EEEA"/>
          </w:tcPr>
          <w:p>
            <w:r/>
            <w:r>
              <w:rPr>
                <w:sz w:val="20"/>
              </w:rPr>
              <w:t>11 (5 with the role 'seed')</w:t>
            </w:r>
          </w:p>
        </w:tc>
        <w:tc>
          <w:tcPr>
            <w:tcW w:type="dxa" w:w="2721"/>
            <w:shd w:val="clear" w:color="auto" w:fill="F3EEEA"/>
          </w:tcPr>
          <w:p>
            <w:r/>
            <w:r>
              <w:rPr>
                <w:sz w:val="20"/>
              </w:rPr>
              <w:t>data/literature_seed.json</w:t>
            </w:r>
          </w:p>
        </w:tc>
      </w:tr>
      <w:tr>
        <w:tc>
          <w:tcPr>
            <w:tcW w:type="dxa" w:w="3515"/>
            <w:shd w:val="clear" w:color="auto" w:fill="F3EEEA"/>
          </w:tcPr>
          <w:p>
            <w:r/>
            <w:r>
              <w:rPr>
                <w:b/>
                <w:sz w:val="20"/>
              </w:rPr>
              <w:t>Survey rows</w:t>
            </w:r>
          </w:p>
        </w:tc>
        <w:tc>
          <w:tcPr>
            <w:tcW w:type="dxa" w:w="2948"/>
            <w:shd w:val="clear" w:color="auto" w:fill="F3EEEA"/>
          </w:tcPr>
          <w:p>
            <w:r/>
            <w:r>
              <w:rPr>
                <w:sz w:val="20"/>
              </w:rPr>
              <w:t>182</w:t>
            </w:r>
          </w:p>
        </w:tc>
        <w:tc>
          <w:tcPr>
            <w:tcW w:type="dxa" w:w="2721"/>
            <w:shd w:val="clear" w:color="auto" w:fill="F3EEEA"/>
          </w:tcPr>
          <w:p>
            <w:r/>
            <w:r>
              <w:rPr>
                <w:sz w:val="20"/>
              </w:rPr>
              <w:t>data/literature_seed.json</w:t>
            </w:r>
          </w:p>
        </w:tc>
      </w:tr>
      <w:tr>
        <w:tc>
          <w:tcPr>
            <w:tcW w:type="dxa" w:w="3515"/>
            <w:shd w:val="clear" w:color="auto" w:fill="F3EEEA"/>
          </w:tcPr>
          <w:p>
            <w:r/>
            <w:r>
              <w:rPr>
                <w:b/>
                <w:sz w:val="20"/>
              </w:rPr>
              <w:t>Library risks / with a survey-based tier / without</w:t>
            </w:r>
          </w:p>
        </w:tc>
        <w:tc>
          <w:tcPr>
            <w:tcW w:type="dxa" w:w="2948"/>
            <w:shd w:val="clear" w:color="auto" w:fill="F3EEEA"/>
          </w:tcPr>
          <w:p>
            <w:r/>
            <w:r>
              <w:rPr>
                <w:sz w:val="20"/>
              </w:rPr>
              <w:t>46 / 30 / 16</w:t>
            </w:r>
          </w:p>
        </w:tc>
        <w:tc>
          <w:tcPr>
            <w:tcW w:type="dxa" w:w="2721"/>
            <w:shd w:val="clear" w:color="auto" w:fill="F3EEEA"/>
          </w:tcPr>
          <w:p>
            <w:r/>
            <w:r>
              <w:rPr>
                <w:sz w:val="20"/>
              </w:rPr>
              <w:t>data/risk_library_masonry.json; Handoff section 9</w:t>
            </w:r>
          </w:p>
        </w:tc>
      </w:tr>
      <w:tr>
        <w:tc>
          <w:tcPr>
            <w:tcW w:type="dxa" w:w="3515"/>
            <w:shd w:val="clear" w:color="auto" w:fill="F3EEEA"/>
          </w:tcPr>
          <w:p>
            <w:r/>
            <w:r>
              <w:rPr>
                <w:b/>
                <w:sz w:val="20"/>
              </w:rPr>
              <w:t>Seeded risks that rest on a single study</w:t>
            </w:r>
          </w:p>
        </w:tc>
        <w:tc>
          <w:tcPr>
            <w:tcW w:type="dxa" w:w="2948"/>
            <w:shd w:val="clear" w:color="auto" w:fill="F3EEEA"/>
          </w:tcPr>
          <w:p>
            <w:r/>
            <w:r>
              <w:rPr>
                <w:sz w:val="20"/>
              </w:rPr>
              <w:t>14 of 30</w:t>
            </w:r>
          </w:p>
        </w:tc>
        <w:tc>
          <w:tcPr>
            <w:tcW w:type="dxa" w:w="2721"/>
            <w:shd w:val="clear" w:color="auto" w:fill="F3EEEA"/>
          </w:tcPr>
          <w:p>
            <w:r/>
            <w:r>
              <w:rPr>
                <w:sz w:val="20"/>
              </w:rPr>
              <w:t>docs/refine_round_1/lead_D.md</w:t>
            </w:r>
          </w:p>
        </w:tc>
      </w:tr>
      <w:tr>
        <w:tc>
          <w:tcPr>
            <w:tcW w:type="dxa" w:w="3515"/>
            <w:shd w:val="clear" w:color="auto" w:fill="F3EEEA"/>
          </w:tcPr>
          <w:p>
            <w:r/>
            <w:r>
              <w:rPr>
                <w:b/>
                <w:sz w:val="20"/>
              </w:rPr>
              <w:t>Gap between ranks 12 and 13</w:t>
            </w:r>
          </w:p>
        </w:tc>
        <w:tc>
          <w:tcPr>
            <w:tcW w:type="dxa" w:w="2948"/>
            <w:shd w:val="clear" w:color="auto" w:fill="F3EEEA"/>
          </w:tcPr>
          <w:p>
            <w:r/>
            <w:r>
              <w:rPr>
                <w:sz w:val="20"/>
              </w:rPr>
              <w:t>0.0008 RII</w:t>
            </w:r>
          </w:p>
        </w:tc>
        <w:tc>
          <w:tcPr>
            <w:tcW w:type="dxa" w:w="2721"/>
            <w:shd w:val="clear" w:color="auto" w:fill="F3EEEA"/>
          </w:tcPr>
          <w:p>
            <w:r/>
            <w:r>
              <w:rPr>
                <w:sz w:val="20"/>
              </w:rPr>
              <w:t>docs/refine_round_1/lead_D.md</w:t>
            </w:r>
          </w:p>
        </w:tc>
      </w:tr>
      <w:tr>
        <w:tc>
          <w:tcPr>
            <w:tcW w:type="dxa" w:w="3515"/>
            <w:shd w:val="clear" w:color="auto" w:fill="F3EEEA"/>
          </w:tcPr>
          <w:p>
            <w:r/>
            <w:r>
              <w:rPr>
                <w:b/>
                <w:sz w:val="20"/>
              </w:rPr>
              <w:t>Agreement with held-out surveys</w:t>
            </w:r>
          </w:p>
        </w:tc>
        <w:tc>
          <w:tcPr>
            <w:tcW w:type="dxa" w:w="2948"/>
            <w:shd w:val="clear" w:color="auto" w:fill="F3EEEA"/>
          </w:tcPr>
          <w:p>
            <w:r/>
            <w:r>
              <w:rPr>
                <w:sz w:val="20"/>
              </w:rPr>
              <w:t>weak; none of three tests survives correction for multiple testing</w:t>
            </w:r>
          </w:p>
        </w:tc>
        <w:tc>
          <w:tcPr>
            <w:tcW w:type="dxa" w:w="2721"/>
            <w:shd w:val="clear" w:color="auto" w:fill="F3EEEA"/>
          </w:tcPr>
          <w:p>
            <w:r/>
            <w:r>
              <w:rPr>
                <w:sz w:val="20"/>
              </w:rPr>
              <w:t>Handoff section 8; lead_D.md D-13</w:t>
            </w:r>
          </w:p>
        </w:tc>
      </w:tr>
    </w:tbl>
    <w:p>
      <w:pPr>
        <w:spacing w:after="40"/>
      </w:pPr>
    </w:p>
    <w:p>
      <w:pPr>
        <w:pStyle w:val="Heading1"/>
      </w:pPr>
      <w:r>
        <w:t>3. Work done in this period</w:t>
      </w:r>
    </w:p>
    <w:p>
      <w:pPr>
        <w:pStyle w:val="Heading2"/>
      </w:pPr>
      <w:r>
        <w:t>3.1 Independent audit (round 1)</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2608"/>
            <w:shd w:val="clear" w:color="auto" w:fill="B85042"/>
          </w:tcPr>
          <w:p>
            <w:r/>
            <w:r>
              <w:rPr>
                <w:b/>
                <w:color w:val="FFFFFF"/>
                <w:sz w:val="20"/>
              </w:rPr>
              <w:t>Area</w:t>
            </w:r>
          </w:p>
        </w:tc>
        <w:tc>
          <w:tcPr>
            <w:tcW w:type="dxa" w:w="1361"/>
            <w:shd w:val="clear" w:color="auto" w:fill="B85042"/>
          </w:tcPr>
          <w:p>
            <w:r/>
            <w:r>
              <w:rPr>
                <w:b/>
                <w:color w:val="FFFFFF"/>
                <w:sz w:val="20"/>
              </w:rPr>
              <w:t>Findings</w:t>
            </w:r>
          </w:p>
        </w:tc>
        <w:tc>
          <w:tcPr>
            <w:tcW w:type="dxa" w:w="5216"/>
            <w:shd w:val="clear" w:color="auto" w:fill="B85042"/>
          </w:tcPr>
          <w:p>
            <w:r/>
            <w:r>
              <w:rPr>
                <w:b/>
                <w:color w:val="FFFFFF"/>
                <w:sz w:val="20"/>
              </w:rPr>
              <w:t>Examples</w:t>
            </w:r>
          </w:p>
        </w:tc>
      </w:tr>
      <w:tr>
        <w:tc>
          <w:tcPr>
            <w:tcW w:type="dxa" w:w="2608"/>
            <w:shd w:val="clear" w:color="auto" w:fill="F3EEEA"/>
          </w:tcPr>
          <w:p>
            <w:r/>
            <w:r>
              <w:rPr>
                <w:b/>
                <w:sz w:val="20"/>
              </w:rPr>
              <w:t>Engine, API, error paths, tests</w:t>
            </w:r>
          </w:p>
        </w:tc>
        <w:tc>
          <w:tcPr>
            <w:tcW w:type="dxa" w:w="1361"/>
            <w:shd w:val="clear" w:color="auto" w:fill="F3EEEA"/>
          </w:tcPr>
          <w:p>
            <w:r/>
            <w:r>
              <w:rPr>
                <w:sz w:val="20"/>
              </w:rPr>
              <w:t>35 (15 + 20)</w:t>
            </w:r>
          </w:p>
        </w:tc>
        <w:tc>
          <w:tcPr>
            <w:tcW w:type="dxa" w:w="5216"/>
            <w:shd w:val="clear" w:color="auto" w:fill="F3EEEA"/>
          </w:tcPr>
          <w:p>
            <w:r/>
            <w:r>
              <w:rPr>
                <w:sz w:val="20"/>
              </w:rPr>
              <w:t>Matrix accepted true/false and NaN edges; analysis crashed for fewer than 10 simulation draws; a test reached a live AI service.</w:t>
            </w:r>
          </w:p>
        </w:tc>
      </w:tr>
      <w:tr>
        <w:tc>
          <w:tcPr>
            <w:tcW w:type="dxa" w:w="2608"/>
            <w:shd w:val="clear" w:color="auto" w:fill="F3EEEA"/>
          </w:tcPr>
          <w:p>
            <w:r/>
            <w:r>
              <w:rPr>
                <w:b/>
                <w:sz w:val="20"/>
              </w:rPr>
              <w:t>GUI and usability</w:t>
            </w:r>
          </w:p>
        </w:tc>
        <w:tc>
          <w:tcPr>
            <w:tcW w:type="dxa" w:w="1361"/>
            <w:shd w:val="clear" w:color="auto" w:fill="F3EEEA"/>
          </w:tcPr>
          <w:p>
            <w:r/>
            <w:r>
              <w:rPr>
                <w:sz w:val="20"/>
              </w:rPr>
              <w:t>48</w:t>
            </w:r>
          </w:p>
        </w:tc>
        <w:tc>
          <w:tcPr>
            <w:tcW w:type="dxa" w:w="5216"/>
            <w:shd w:val="clear" w:color="auto" w:fill="F3EEEA"/>
          </w:tcPr>
          <w:p>
            <w:r/>
            <w:r>
              <w:rPr>
                <w:sz w:val="20"/>
              </w:rPr>
              <w:t>Sideways scroll at phone width; rail links without accessible names; contradictory wording about when a risk is placed.</w:t>
            </w:r>
          </w:p>
        </w:tc>
      </w:tr>
      <w:tr>
        <w:tc>
          <w:tcPr>
            <w:tcW w:type="dxa" w:w="2608"/>
            <w:shd w:val="clear" w:color="auto" w:fill="F3EEEA"/>
          </w:tcPr>
          <w:p>
            <w:r/>
            <w:r>
              <w:rPr>
                <w:b/>
                <w:sz w:val="20"/>
              </w:rPr>
              <w:t>Research data and scripts</w:t>
            </w:r>
          </w:p>
        </w:tc>
        <w:tc>
          <w:tcPr>
            <w:tcW w:type="dxa" w:w="1361"/>
            <w:shd w:val="clear" w:color="auto" w:fill="F3EEEA"/>
          </w:tcPr>
          <w:p>
            <w:r/>
            <w:r>
              <w:rPr>
                <w:sz w:val="20"/>
              </w:rPr>
              <w:t>31</w:t>
            </w:r>
          </w:p>
        </w:tc>
        <w:tc>
          <w:tcPr>
            <w:tcW w:type="dxa" w:w="5216"/>
            <w:shd w:val="clear" w:color="auto" w:fill="F3EEEA"/>
          </w:tcPr>
          <w:p>
            <w:r/>
            <w:r>
              <w:rPr>
                <w:sz w:val="20"/>
              </w:rPr>
              <w:t>A rebuild script could erase review decisions; stale figures in generated reports; personal e-mail in a manifest (scrubbed before upload).</w:t>
            </w:r>
          </w:p>
        </w:tc>
      </w:tr>
      <w:tr>
        <w:tc>
          <w:tcPr>
            <w:tcW w:type="dxa" w:w="2608"/>
            <w:shd w:val="clear" w:color="auto" w:fill="F3EEEA"/>
          </w:tcPr>
          <w:p>
            <w:r/>
            <w:r>
              <w:rPr>
                <w:b/>
                <w:sz w:val="20"/>
              </w:rPr>
              <w:t>Documents and numbers</w:t>
            </w:r>
          </w:p>
        </w:tc>
        <w:tc>
          <w:tcPr>
            <w:tcW w:type="dxa" w:w="1361"/>
            <w:shd w:val="clear" w:color="auto" w:fill="F3EEEA"/>
          </w:tcPr>
          <w:p>
            <w:r/>
            <w:r>
              <w:rPr>
                <w:sz w:val="20"/>
              </w:rPr>
              <w:t>26</w:t>
            </w:r>
          </w:p>
        </w:tc>
        <w:tc>
          <w:tcPr>
            <w:tcW w:type="dxa" w:w="5216"/>
            <w:shd w:val="clear" w:color="auto" w:fill="F3EEEA"/>
          </w:tcPr>
          <w:p>
            <w:r/>
            <w:r>
              <w:rPr>
                <w:sz w:val="20"/>
              </w:rPr>
              <w:t>Old test counts; 'all 182 rows match the papers' when 161 were compared; withdrawn wording in Word documents.</w:t>
            </w:r>
          </w:p>
        </w:tc>
      </w:tr>
      <w:tr>
        <w:tc>
          <w:tcPr>
            <w:tcW w:type="dxa" w:w="2608"/>
            <w:shd w:val="clear" w:color="auto" w:fill="F3EEEA"/>
          </w:tcPr>
          <w:p>
            <w:r/>
            <w:r>
              <w:rPr>
                <w:b/>
                <w:sz w:val="20"/>
              </w:rPr>
              <w:t>Total</w:t>
            </w:r>
          </w:p>
        </w:tc>
        <w:tc>
          <w:tcPr>
            <w:tcW w:type="dxa" w:w="1361"/>
            <w:shd w:val="clear" w:color="auto" w:fill="F3EEEA"/>
          </w:tcPr>
          <w:p>
            <w:r/>
            <w:r>
              <w:rPr>
                <w:sz w:val="20"/>
              </w:rPr>
              <w:t>140</w:t>
            </w:r>
          </w:p>
        </w:tc>
        <w:tc>
          <w:tcPr>
            <w:tcW w:type="dxa" w:w="5216"/>
            <w:shd w:val="clear" w:color="auto" w:fill="F3EEEA"/>
          </w:tcPr>
          <w:p>
            <w:r/>
            <w:r>
              <w:rPr>
                <w:sz w:val="20"/>
              </w:rPr>
              <w:t>Every finding triaged: fix now / owner decision / needs local data / rejected (docs/refine_round_1/triage.md).</w:t>
            </w:r>
          </w:p>
        </w:tc>
      </w:tr>
    </w:tbl>
    <w:p>
      <w:pPr>
        <w:spacing w:after="40"/>
      </w:pPr>
    </w:p>
    <w:p>
      <w:r>
        <w:rPr>
          <w:b w:val="0"/>
          <w:i/>
        </w:rPr>
        <w:t>Agent-reported findings were treated as claims. Several were reproduced by hand before any fix, and one reported defect (a NaN probability being accepted) did not reproduce and was not changed.</w:t>
      </w:r>
    </w:p>
    <w:p>
      <w:pPr>
        <w:pStyle w:val="Heading2"/>
      </w:pPr>
      <w:r>
        <w:t>3.2 Fixes</w:t>
      </w:r>
    </w:p>
    <w:p>
      <w:pPr>
        <w:pStyle w:val="ListBullet"/>
        <w:spacing w:after="60"/>
      </w:pPr>
      <w:r>
        <w:rPr>
          <w:b/>
        </w:rPr>
        <w:t xml:space="preserve">Engine guards: </w:t>
      </w:r>
      <w:r>
        <w:t>matrix functions reject true/false, NaN, unsorted class edges, negative delay and classes outside 1 to 5.</w:t>
      </w:r>
    </w:p>
    <w:p>
      <w:pPr>
        <w:pStyle w:val="ListBullet"/>
        <w:spacing w:after="60"/>
      </w:pPr>
      <w:r>
        <w:rPr>
          <w:b/>
        </w:rPr>
        <w:t xml:space="preserve">Input validation: </w:t>
      </w:r>
      <w:r>
        <w:t>plain ASCII decimals only; non-finite values and values above 1e12 are rejected with the field name; block types, bare-string evidence ids and short simulation runs are rejected with clear messages; the command-line analyse command now reports errors in one line instead of a traceback.</w:t>
      </w:r>
    </w:p>
    <w:p>
      <w:pPr>
        <w:pStyle w:val="ListBullet"/>
        <w:spacing w:after="60"/>
      </w:pPr>
      <w:r>
        <w:rPr>
          <w:b/>
        </w:rPr>
        <w:t xml:space="preserve">Repeatable output: </w:t>
      </w:r>
      <w:r>
        <w:t>the order of 'facts used' changed between Python runs because a set was iterated in hash order. It is now fixed and covered by a test that runs three hash seeds. Golden output hashes are identical before and after all engine changes.</w:t>
      </w:r>
    </w:p>
    <w:p>
      <w:pPr>
        <w:pStyle w:val="ListBullet"/>
        <w:spacing w:after="60"/>
      </w:pPr>
      <w:r>
        <w:rPr>
          <w:b/>
        </w:rPr>
        <w:t xml:space="preserve">AI guard: </w:t>
      </w:r>
      <w:r>
        <w:t>an empty or uncited quote is flagged; a bare number scaled by 100 no longer passes the number check.</w:t>
      </w:r>
    </w:p>
    <w:p>
      <w:pPr>
        <w:pStyle w:val="ListBullet"/>
        <w:spacing w:after="60"/>
      </w:pPr>
      <w:r>
        <w:rPr>
          <w:b/>
        </w:rPr>
        <w:t xml:space="preserve">GUI: </w:t>
      </w:r>
      <w:r>
        <w:t>phone layout, accessible names, visible skip link, focus kept after actions, clearer failure messages, and a prompt that says where the planned duration and impact thresholds are entered.</w:t>
      </w:r>
    </w:p>
    <w:p>
      <w:pPr>
        <w:pStyle w:val="ListBullet"/>
        <w:spacing w:after="60"/>
      </w:pPr>
      <w:r>
        <w:rPr>
          <w:b/>
        </w:rPr>
        <w:t xml:space="preserve">Exports and statistics: </w:t>
      </w:r>
      <w:r>
        <w:t>literature-tier rows leave class and score blank in the CSV; the two statistics files were regenerated and now cover all 46 risks (values unchanged).</w:t>
      </w:r>
    </w:p>
    <w:p>
      <w:pPr>
        <w:pStyle w:val="Heading2"/>
      </w:pPr>
      <w:r>
        <w:t>3.3 Clean-up</w:t>
      </w:r>
    </w:p>
    <w:tbl>
      <w:tblPr>
        <w:tblStyle w:val="TableGrid"/>
        <w:tblW w:type="auto" w:w="0"/>
        <w:jc w:val="center"/>
        <w:tblLayout w:type="fixed"/>
        <w:tblLook w:firstColumn="1" w:firstRow="1" w:lastColumn="0" w:lastRow="0" w:noHBand="0" w:noVBand="1" w:val="04A0"/>
      </w:tblPr>
      <w:tblGrid>
        <w:gridCol w:w="4649"/>
        <w:gridCol w:w="4649"/>
      </w:tblGrid>
      <w:tr>
        <w:tc>
          <w:tcPr>
            <w:tcW w:type="dxa" w:w="4195"/>
            <w:shd w:val="clear" w:color="auto" w:fill="B85042"/>
          </w:tcPr>
          <w:p>
            <w:r/>
            <w:r>
              <w:rPr>
                <w:b/>
                <w:color w:val="FFFFFF"/>
                <w:sz w:val="20"/>
              </w:rPr>
              <w:t>Removed</w:t>
            </w:r>
          </w:p>
        </w:tc>
        <w:tc>
          <w:tcPr>
            <w:tcW w:type="dxa" w:w="4989"/>
            <w:shd w:val="clear" w:color="auto" w:fill="B85042"/>
          </w:tcPr>
          <w:p>
            <w:r/>
            <w:r>
              <w:rPr>
                <w:b/>
                <w:color w:val="FFFFFF"/>
                <w:sz w:val="20"/>
              </w:rPr>
              <w:t>Evidence it was unused</w:t>
            </w:r>
          </w:p>
        </w:tc>
      </w:tr>
      <w:tr>
        <w:tc>
          <w:tcPr>
            <w:tcW w:type="dxa" w:w="4195"/>
            <w:shd w:val="clear" w:color="auto" w:fill="F3EEEA"/>
          </w:tcPr>
          <w:p>
            <w:r/>
            <w:r>
              <w:rPr>
                <w:b/>
                <w:sz w:val="20"/>
              </w:rPr>
              <w:t>6 retired GUI screens (cost, decision, mitigation, productivity, simulation, explain)</w:t>
            </w:r>
          </w:p>
        </w:tc>
        <w:tc>
          <w:tcPr>
            <w:tcW w:type="dxa" w:w="4989"/>
            <w:shd w:val="clear" w:color="auto" w:fill="F3EEEA"/>
          </w:tcPr>
          <w:p>
            <w:r/>
            <w:r>
              <w:rPr>
                <w:sz w:val="20"/>
              </w:rPr>
              <w:t>Imported only by one another; a test asserts the front end does not load them.</w:t>
            </w:r>
          </w:p>
        </w:tc>
      </w:tr>
      <w:tr>
        <w:tc>
          <w:tcPr>
            <w:tcW w:type="dxa" w:w="4195"/>
            <w:shd w:val="clear" w:color="auto" w:fill="F3EEEA"/>
          </w:tcPr>
          <w:p>
            <w:r/>
            <w:r>
              <w:rPr>
                <w:b/>
                <w:sz w:val="20"/>
              </w:rPr>
              <w:t>app/productivity package and its tests</w:t>
            </w:r>
          </w:p>
        </w:tc>
        <w:tc>
          <w:tcPr>
            <w:tcW w:type="dxa" w:w="4989"/>
            <w:shd w:val="clear" w:color="auto" w:fill="F3EEEA"/>
          </w:tcPr>
          <w:p>
            <w:r/>
            <w:r>
              <w:rPr>
                <w:sz w:val="20"/>
              </w:rPr>
              <w:t>Imported only by tests; no GUI, command-line or service route.</w:t>
            </w:r>
          </w:p>
        </w:tc>
      </w:tr>
      <w:tr>
        <w:tc>
          <w:tcPr>
            <w:tcW w:type="dxa" w:w="4195"/>
            <w:shd w:val="clear" w:color="auto" w:fill="F3EEEA"/>
          </w:tcPr>
          <w:p>
            <w:r/>
            <w:r>
              <w:rPr>
                <w:b/>
                <w:sz w:val="20"/>
              </w:rPr>
              <w:t>Unused LLM narrative path (build_explain_prompt, explain_with_llm)</w:t>
            </w:r>
          </w:p>
        </w:tc>
        <w:tc>
          <w:tcPr>
            <w:tcW w:type="dxa" w:w="4989"/>
            <w:shd w:val="clear" w:color="auto" w:fill="F3EEEA"/>
          </w:tcPr>
          <w:p>
            <w:r/>
            <w:r>
              <w:rPr>
                <w:sz w:val="20"/>
              </w:rPr>
              <w:t>No caller; it was a route by which a language model could add numbers.</w:t>
            </w:r>
          </w:p>
        </w:tc>
      </w:tr>
      <w:tr>
        <w:tc>
          <w:tcPr>
            <w:tcW w:type="dxa" w:w="4195"/>
            <w:shd w:val="clear" w:color="auto" w:fill="F3EEEA"/>
          </w:tcPr>
          <w:p>
            <w:r/>
            <w:r>
              <w:rPr>
                <w:b/>
                <w:sz w:val="20"/>
              </w:rPr>
              <w:t>scenarios/ folder, output/ folder, two empty root files</w:t>
            </w:r>
          </w:p>
        </w:tc>
        <w:tc>
          <w:tcPr>
            <w:tcW w:type="dxa" w:w="4989"/>
            <w:shd w:val="clear" w:color="auto" w:fill="F3EEEA"/>
          </w:tcPr>
          <w:p>
            <w:r/>
            <w:r>
              <w:rPr>
                <w:sz w:val="20"/>
              </w:rPr>
              <w:t>scenarios/ is identical to examples/scenarios/ (diff -r); the others are generated or empty.</w:t>
            </w:r>
          </w:p>
        </w:tc>
      </w:tr>
    </w:tbl>
    <w:p>
      <w:pPr>
        <w:spacing w:after="40"/>
      </w:pPr>
    </w:p>
    <w:p>
      <w:r>
        <w:rPr>
          <w:b w:val="0"/>
          <w:i w:val="0"/>
        </w:rPr>
        <w:t>Kept on purpose: the Monte Carlo, cost and decision modules, because the optional Cost, options and decision screen, 30+ tests and the demo use them; whether they stay in scope is the supervisor's decision. Also kept: the two data files that feed evidence records, the screenshots folder, the Word documents and the full report folder. The removal is a single commit and can be reverted.</w:t>
      </w:r>
    </w:p>
    <w:p>
      <w:pPr>
        <w:pStyle w:val="Heading2"/>
      </w:pPr>
      <w:r>
        <w:t>3.4 Controls against outliers and variation</w:t>
      </w:r>
    </w:p>
    <w:p>
      <w:pPr>
        <w:pStyle w:val="ListBullet"/>
        <w:spacing w:after="60"/>
      </w:pPr>
      <w:r>
        <w:t>A data-consistency script and test over 46 risks, 22 rules, 182 seed rows, 13 mitigation entries and 472 evidence ids: no duplicate or dangling ids, no RII outside (0, 1], no rank that contradicts the RII order inside a study. Result on the final commit: OK.</w:t>
      </w:r>
    </w:p>
    <w:p>
      <w:pPr>
        <w:pStyle w:val="ListBullet"/>
        <w:spacing w:after="60"/>
      </w:pPr>
      <w:r>
        <w:t>A warning (not a rejection) when a delay maximum exceeds 5 times the planned duration, the usual signature of hours entered as days.</w:t>
      </w:r>
    </w:p>
    <w:p>
      <w:pPr>
        <w:pStyle w:val="ListBullet"/>
        <w:spacing w:after="60"/>
      </w:pPr>
      <w:r>
        <w:t>No value in the literature seed file was edited.</w:t>
      </w:r>
    </w:p>
    <w:p>
      <w:pPr>
        <w:pStyle w:val="Heading1"/>
      </w:pPr>
      <w:r>
        <w:t>4. Quality evidence</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1701"/>
            <w:shd w:val="clear" w:color="auto" w:fill="B85042"/>
          </w:tcPr>
          <w:p>
            <w:r/>
            <w:r>
              <w:rPr>
                <w:b/>
                <w:color w:val="FFFFFF"/>
                <w:sz w:val="20"/>
              </w:rPr>
              <w:t>Check</w:t>
            </w:r>
          </w:p>
        </w:tc>
        <w:tc>
          <w:tcPr>
            <w:tcW w:type="dxa" w:w="3175"/>
            <w:shd w:val="clear" w:color="auto" w:fill="B85042"/>
          </w:tcPr>
          <w:p>
            <w:r/>
            <w:r>
              <w:rPr>
                <w:b/>
                <w:color w:val="FFFFFF"/>
                <w:sz w:val="20"/>
              </w:rPr>
              <w:t>Command</w:t>
            </w:r>
          </w:p>
        </w:tc>
        <w:tc>
          <w:tcPr>
            <w:tcW w:type="dxa" w:w="4309"/>
            <w:shd w:val="clear" w:color="auto" w:fill="B85042"/>
          </w:tcPr>
          <w:p>
            <w:r/>
            <w:r>
              <w:rPr>
                <w:b/>
                <w:color w:val="FFFFFF"/>
                <w:sz w:val="20"/>
              </w:rPr>
              <w:t>Result</w:t>
            </w:r>
          </w:p>
        </w:tc>
      </w:tr>
      <w:tr>
        <w:tc>
          <w:tcPr>
            <w:tcW w:type="dxa" w:w="1701"/>
            <w:shd w:val="clear" w:color="auto" w:fill="F3EEEA"/>
          </w:tcPr>
          <w:p>
            <w:r/>
            <w:r>
              <w:rPr>
                <w:b/>
                <w:sz w:val="20"/>
              </w:rPr>
              <w:t>Automated tests</w:t>
            </w:r>
          </w:p>
        </w:tc>
        <w:tc>
          <w:tcPr>
            <w:tcW w:type="dxa" w:w="3175"/>
            <w:shd w:val="clear" w:color="auto" w:fill="F3EEEA"/>
          </w:tcPr>
          <w:p>
            <w:r/>
            <w:r>
              <w:rPr>
                <w:sz w:val="20"/>
              </w:rPr>
              <w:t>python -m pytest tests -q</w:t>
            </w:r>
          </w:p>
        </w:tc>
        <w:tc>
          <w:tcPr>
            <w:tcW w:type="dxa" w:w="4309"/>
            <w:shd w:val="clear" w:color="auto" w:fill="F3EEEA"/>
          </w:tcPr>
          <w:p>
            <w:r/>
            <w:r>
              <w:rPr>
                <w:sz w:val="20"/>
              </w:rPr>
              <w:t>600 passed, 3 skipped (603 collected). Before this round: 553 passed, 3 skipped. The 3 skips need git-ignored local data.</w:t>
            </w:r>
          </w:p>
        </w:tc>
      </w:tr>
      <w:tr>
        <w:tc>
          <w:tcPr>
            <w:tcW w:type="dxa" w:w="1701"/>
            <w:shd w:val="clear" w:color="auto" w:fill="F3EEEA"/>
          </w:tcPr>
          <w:p>
            <w:r/>
            <w:r>
              <w:rPr>
                <w:b/>
                <w:sz w:val="20"/>
              </w:rPr>
              <w:t>Static checks</w:t>
            </w:r>
          </w:p>
        </w:tc>
        <w:tc>
          <w:tcPr>
            <w:tcW w:type="dxa" w:w="3175"/>
            <w:shd w:val="clear" w:color="auto" w:fill="F3EEEA"/>
          </w:tcPr>
          <w:p>
            <w:r/>
            <w:r>
              <w:rPr>
                <w:sz w:val="20"/>
              </w:rPr>
              <w:t>flake8 --select=F,E9 app gui tests scripts</w:t>
            </w:r>
          </w:p>
        </w:tc>
        <w:tc>
          <w:tcPr>
            <w:tcW w:type="dxa" w:w="4309"/>
            <w:shd w:val="clear" w:color="auto" w:fill="F3EEEA"/>
          </w:tcPr>
          <w:p>
            <w:r/>
            <w:r>
              <w:rPr>
                <w:sz w:val="20"/>
              </w:rPr>
              <w:t>Clean except one unused import in tests/test_india_norms.py (removed with the file)</w:t>
            </w:r>
          </w:p>
        </w:tc>
      </w:tr>
      <w:tr>
        <w:tc>
          <w:tcPr>
            <w:tcW w:type="dxa" w:w="1701"/>
            <w:shd w:val="clear" w:color="auto" w:fill="F3EEEA"/>
          </w:tcPr>
          <w:p>
            <w:r/>
            <w:r>
              <w:rPr>
                <w:b/>
                <w:sz w:val="20"/>
              </w:rPr>
              <w:t>Repeatable output</w:t>
            </w:r>
          </w:p>
        </w:tc>
        <w:tc>
          <w:tcPr>
            <w:tcW w:type="dxa" w:w="3175"/>
            <w:shd w:val="clear" w:color="auto" w:fill="F3EEEA"/>
          </w:tcPr>
          <w:p>
            <w:r/>
            <w:r>
              <w:rPr>
                <w:sz w:val="20"/>
              </w:rPr>
              <w:t>python scripts/golden_hash.py (three PYTHONHASHSEED values)</w:t>
            </w:r>
          </w:p>
        </w:tc>
        <w:tc>
          <w:tcPr>
            <w:tcW w:type="dxa" w:w="4309"/>
            <w:shd w:val="clear" w:color="auto" w:fill="F3EEEA"/>
          </w:tcPr>
          <w:p>
            <w:r/>
            <w:r>
              <w:rPr>
                <w:sz w:val="20"/>
              </w:rPr>
              <w:t>Identical hashes; unchanged by engine fixes</w:t>
            </w:r>
          </w:p>
        </w:tc>
      </w:tr>
      <w:tr>
        <w:tc>
          <w:tcPr>
            <w:tcW w:type="dxa" w:w="1701"/>
            <w:shd w:val="clear" w:color="auto" w:fill="F3EEEA"/>
          </w:tcPr>
          <w:p>
            <w:r/>
            <w:r>
              <w:rPr>
                <w:b/>
                <w:sz w:val="20"/>
              </w:rPr>
              <w:t>Data consistency</w:t>
            </w:r>
          </w:p>
        </w:tc>
        <w:tc>
          <w:tcPr>
            <w:tcW w:type="dxa" w:w="3175"/>
            <w:shd w:val="clear" w:color="auto" w:fill="F3EEEA"/>
          </w:tcPr>
          <w:p>
            <w:r/>
            <w:r>
              <w:rPr>
                <w:sz w:val="20"/>
              </w:rPr>
              <w:t>python scripts/check_data.py</w:t>
            </w:r>
          </w:p>
        </w:tc>
        <w:tc>
          <w:tcPr>
            <w:tcW w:type="dxa" w:w="4309"/>
            <w:shd w:val="clear" w:color="auto" w:fill="F3EEEA"/>
          </w:tcPr>
          <w:p>
            <w:r/>
            <w:r>
              <w:rPr>
                <w:sz w:val="20"/>
              </w:rPr>
              <w:t>OK</w:t>
            </w:r>
          </w:p>
        </w:tc>
      </w:tr>
      <w:tr>
        <w:tc>
          <w:tcPr>
            <w:tcW w:type="dxa" w:w="1701"/>
            <w:shd w:val="clear" w:color="auto" w:fill="F3EEEA"/>
          </w:tcPr>
          <w:p>
            <w:r/>
            <w:r>
              <w:rPr>
                <w:b/>
                <w:sz w:val="20"/>
              </w:rPr>
              <w:t>GUI layout</w:t>
            </w:r>
          </w:p>
        </w:tc>
        <w:tc>
          <w:tcPr>
            <w:tcW w:type="dxa" w:w="3175"/>
            <w:shd w:val="clear" w:color="auto" w:fill="F3EEEA"/>
          </w:tcPr>
          <w:p>
            <w:r/>
            <w:r>
              <w:rPr>
                <w:sz w:val="20"/>
              </w:rPr>
              <w:t>python scripts/gui_layout_check.py (Chromium, 7 screens, 1280/800/375 px)</w:t>
            </w:r>
          </w:p>
        </w:tc>
        <w:tc>
          <w:tcPr>
            <w:tcW w:type="dxa" w:w="4309"/>
            <w:shd w:val="clear" w:color="auto" w:fill="F3EEEA"/>
          </w:tcPr>
          <w:p>
            <w:r/>
            <w:r>
              <w:rPr>
                <w:sz w:val="20"/>
              </w:rPr>
              <w:t>No sideways scroll, no unnamed navigation links, no console errors. Before: 509 px of overflow at 375 px</w:t>
            </w:r>
          </w:p>
        </w:tc>
      </w:tr>
    </w:tbl>
    <w:p>
      <w:pPr>
        <w:spacing w:after="40"/>
      </w:pPr>
    </w:p>
    <w:p>
      <w:r>
        <w:rPr>
          <w:b w:val="0"/>
          <w:i/>
        </w:rPr>
        <w:t>Passing tests show that the code does what it was written to do. They do not show that the method is right; that is the purpose of the site comparison.</w:t>
      </w:r>
    </w:p>
    <w:p>
      <w:pPr>
        <w:pStyle w:val="Heading1"/>
      </w:pPr>
      <w:r>
        <w:t>5. Remaining shortcomings, ranked</w:t>
      </w:r>
    </w:p>
    <w:p>
      <w:pPr>
        <w:spacing w:after="60"/>
        <w:ind w:left="510" w:hanging="340"/>
      </w:pPr>
      <w:r>
        <w:t>1.  No comparison with site data (high). All outputs rest on literature rankings and entered assumptions.</w:t>
      </w:r>
    </w:p>
    <w:p>
      <w:pPr>
        <w:spacing w:after="60"/>
        <w:ind w:left="510" w:hanging="340"/>
      </w:pPr>
      <w:r>
        <w:t>2.  Scope is stated inconsistently across README, Handoff and Charter; the official title describes the earlier, larger scope.</w:t>
      </w:r>
    </w:p>
    <w:p>
      <w:pPr>
        <w:spacing w:after="60"/>
        <w:ind w:left="510" w:hanging="340"/>
      </w:pPr>
      <w:r>
        <w:t>3.  Corpus figures disagree across reports (3,975, 4,736, 5,214 works); 761 works await review. This needs the local database, which is not in the repository.</w:t>
      </w:r>
    </w:p>
    <w:p>
      <w:pPr>
        <w:spacing w:after="60"/>
        <w:ind w:left="510" w:hanging="340"/>
      </w:pPr>
      <w:r>
        <w:t>4.  Thin literature base for the starting ranking: 14 of 30 seeded risks rest on one study, and neighbouring ranks are nearly tied.</w:t>
      </w:r>
    </w:p>
    <w:p>
      <w:pPr>
        <w:spacing w:after="60"/>
        <w:ind w:left="510" w:hanging="340"/>
      </w:pPr>
      <w:r>
        <w:t>5.  Older Word documents still contain withdrawn wording (validated, predicts, weather rated lower). They were not edited blind.</w:t>
      </w:r>
    </w:p>
    <w:p>
      <w:pPr>
        <w:spacing w:after="60"/>
        <w:ind w:left="510" w:hanging="340"/>
      </w:pPr>
      <w:r>
        <w:t>6.  The expert survey has not been run, and the mapping of survey factors to risks was done by one coder.</w:t>
      </w:r>
    </w:p>
    <w:p>
      <w:pPr>
        <w:spacing w:after="60"/>
        <w:ind w:left="510" w:hanging="340"/>
      </w:pPr>
      <w:r>
        <w:t>7.  Accessibility was checked with a browser, not with a screen reader; a few low-priority GUI items remain open.</w:t>
      </w:r>
    </w:p>
    <w:p>
      <w:pPr>
        <w:spacing w:after="60"/>
        <w:ind w:left="510" w:hanging="340"/>
      </w:pPr>
      <w:r>
        <w:t>8.  Screenshots and report figures include images of screens that were removed.</w:t>
      </w:r>
    </w:p>
    <w:p>
      <w:pPr>
        <w:pStyle w:val="Heading1"/>
      </w:pPr>
      <w:r>
        <w:t>6. What the tool will and will not claim</w:t>
      </w:r>
    </w:p>
    <w:tbl>
      <w:tblPr>
        <w:tblStyle w:val="TableGrid"/>
        <w:tblW w:type="auto" w:w="0"/>
        <w:jc w:val="center"/>
        <w:tblLayout w:type="fixed"/>
        <w:tblLook w:firstColumn="1" w:firstRow="1" w:lastColumn="0" w:lastRow="0" w:noHBand="0" w:noVBand="1" w:val="04A0"/>
      </w:tblPr>
      <w:tblGrid>
        <w:gridCol w:w="4649"/>
        <w:gridCol w:w="4649"/>
      </w:tblGrid>
      <w:tr>
        <w:tc>
          <w:tcPr>
            <w:tcW w:type="dxa" w:w="4592"/>
            <w:shd w:val="clear" w:color="auto" w:fill="B85042"/>
          </w:tcPr>
          <w:p>
            <w:r/>
            <w:r>
              <w:rPr>
                <w:b/>
                <w:color w:val="FFFFFF"/>
                <w:sz w:val="20"/>
              </w:rPr>
              <w:t>It will say</w:t>
            </w:r>
          </w:p>
        </w:tc>
        <w:tc>
          <w:tcPr>
            <w:tcW w:type="dxa" w:w="4592"/>
            <w:shd w:val="clear" w:color="auto" w:fill="B85042"/>
          </w:tcPr>
          <w:p>
            <w:r/>
            <w:r>
              <w:rPr>
                <w:b/>
                <w:color w:val="FFFFFF"/>
                <w:sz w:val="20"/>
              </w:rPr>
              <w:t>It will not say</w:t>
            </w:r>
          </w:p>
        </w:tc>
      </w:tr>
      <w:tr>
        <w:tc>
          <w:tcPr>
            <w:tcW w:type="dxa" w:w="4592"/>
            <w:shd w:val="clear" w:color="auto" w:fill="F3EEEA"/>
          </w:tcPr>
          <w:p>
            <w:r/>
            <w:r>
              <w:rPr>
                <w:b/>
                <w:sz w:val="20"/>
              </w:rPr>
              <w:t>Ordinal priority of risks, with each number's Source printed.</w:t>
            </w:r>
          </w:p>
        </w:tc>
        <w:tc>
          <w:tcPr>
            <w:tcW w:type="dxa" w:w="4592"/>
            <w:shd w:val="clear" w:color="auto" w:fill="F3EEEA"/>
          </w:tcPr>
          <w:p>
            <w:r/>
            <w:r>
              <w:rPr>
                <w:sz w:val="20"/>
              </w:rPr>
              <w:t>That a probability or delay is predicted or validated.</w:t>
            </w:r>
          </w:p>
        </w:tc>
      </w:tr>
      <w:tr>
        <w:tc>
          <w:tcPr>
            <w:tcW w:type="dxa" w:w="4592"/>
            <w:shd w:val="clear" w:color="auto" w:fill="F3EEEA"/>
          </w:tcPr>
          <w:p>
            <w:r/>
            <w:r>
              <w:rPr>
                <w:b/>
                <w:sz w:val="20"/>
              </w:rPr>
              <w:t>Where a placement comes from a literature tier (Assumption).</w:t>
            </w:r>
          </w:p>
        </w:tc>
        <w:tc>
          <w:tcPr>
            <w:tcW w:type="dxa" w:w="4592"/>
            <w:shd w:val="clear" w:color="auto" w:fill="F3EEEA"/>
          </w:tcPr>
          <w:p>
            <w:r/>
            <w:r>
              <w:rPr>
                <w:sz w:val="20"/>
              </w:rPr>
              <w:t>That a survey rank is a likelihood or a number of days.</w:t>
            </w:r>
          </w:p>
        </w:tc>
      </w:tr>
      <w:tr>
        <w:tc>
          <w:tcPr>
            <w:tcW w:type="dxa" w:w="4592"/>
            <w:shd w:val="clear" w:color="auto" w:fill="F3EEEA"/>
          </w:tcPr>
          <w:p>
            <w:r/>
            <w:r>
              <w:rPr>
                <w:b/>
                <w:sz w:val="20"/>
              </w:rPr>
              <w:t>Agreement with site data, with its uncertainty and sample size.</w:t>
            </w:r>
          </w:p>
        </w:tc>
        <w:tc>
          <w:tcPr>
            <w:tcW w:type="dxa" w:w="4592"/>
            <w:shd w:val="clear" w:color="auto" w:fill="F3EEEA"/>
          </w:tcPr>
          <w:p>
            <w:r/>
            <w:r>
              <w:rPr>
                <w:sz w:val="20"/>
              </w:rPr>
              <w:t>That agreement on one site proves general validity.</w:t>
            </w:r>
          </w:p>
        </w:tc>
      </w:tr>
    </w:tbl>
    <w:p>
      <w:pPr>
        <w:spacing w:after="40"/>
      </w:pPr>
    </w:p>
    <w:p>
      <w:pPr>
        <w:pStyle w:val="Heading1"/>
      </w:pPr>
      <w:r>
        <w:t>7. Planned next phase: comparison with a site baseline</w:t>
      </w:r>
    </w:p>
    <w:p>
      <w:r>
        <w:rPr>
          <w:b/>
          <w:i w:val="0"/>
        </w:rPr>
        <w:t>Status: planned, not started. No site data has been received.</w:t>
      </w:r>
    </w:p>
    <w:p>
      <w:pPr>
        <w:pStyle w:val="Heading2"/>
      </w:pPr>
      <w:r>
        <w:t>7.1 Objective</w:t>
      </w:r>
    </w:p>
    <w:p>
      <w:r>
        <w:rPr>
          <w:b w:val="0"/>
          <w:i w:val="0"/>
        </w:rPr>
        <w:t>To test the tool against a proper industrial baseline: the planned and actual schedule of one real site, exported from MS Project or Primavera P6. The question is whether the tool's ranking of risks, and the rule flags it raises, agree with what actually delayed the work.</w:t>
      </w:r>
    </w:p>
    <w:p>
      <w:pPr>
        <w:pStyle w:val="Heading2"/>
      </w:pPr>
      <w:r>
        <w:t>7.2 Data needed</w:t>
      </w:r>
    </w:p>
    <w:p>
      <w:pPr>
        <w:pStyle w:val="ListBullet"/>
        <w:spacing w:after="60"/>
      </w:pPr>
      <w:r>
        <w:t>The schedule for the masonry activity or work package: activity id and name, baseline (planned) start, finish and duration; actual start and finish; the working calendar so durations are in the same working days the tool uses.</w:t>
      </w:r>
    </w:p>
    <w:p>
      <w:pPr>
        <w:pStyle w:val="ListBullet"/>
        <w:spacing w:after="60"/>
      </w:pPr>
      <w:r>
        <w:t>The record of why work slipped: a delay or variance log, daily progress reports or site diary entries with the cause and the days lost. A bare schedule shows how late an activity was, not why.</w:t>
      </w:r>
    </w:p>
    <w:p>
      <w:pPr>
        <w:pStyle w:val="ListBullet"/>
        <w:spacing w:after="60"/>
      </w:pPr>
      <w:r>
        <w:t>Site facts that the 22 rules read (workers available and required, material stock and lead time, monsoon overlap, and similar), taken from the same period.</w:t>
      </w:r>
    </w:p>
    <w:p>
      <w:pPr>
        <w:pStyle w:val="ListBullet"/>
        <w:spacing w:after="60"/>
      </w:pPr>
      <w:r>
        <w:t>Export route: MS Project to XML or Excel; Primavera P6 to XER or Excel (target versus actual dates). Written permission from the site, with names removed.</w:t>
      </w:r>
    </w:p>
    <w:p>
      <w:pPr>
        <w:pStyle w:val="Heading2"/>
      </w:pPr>
      <w:r>
        <w:t>7.3 Proposed procedure</w:t>
      </w:r>
    </w:p>
    <w:p>
      <w:pPr>
        <w:spacing w:after="60"/>
        <w:ind w:left="510" w:hanging="340"/>
      </w:pPr>
      <w:r>
        <w:t>1.  Obtain and anonymise the export; record exactly what was received.</w:t>
      </w:r>
    </w:p>
    <w:p>
      <w:pPr>
        <w:spacing w:after="60"/>
        <w:ind w:left="510" w:hanging="340"/>
      </w:pPr>
      <w:r>
        <w:t>2.  Code each logged delay cause to a library risk. Two coders work independently and their agreement is reported, because the current mapping has a single coder.</w:t>
      </w:r>
    </w:p>
    <w:p>
      <w:pPr>
        <w:spacing w:after="60"/>
        <w:ind w:left="510" w:hanging="340"/>
      </w:pPr>
      <w:r>
        <w:t>3.  Run the tool on the same activity using only information that was available before the work started (facts and entered numbers); keep the schedule outcome hidden from this step.</w:t>
      </w:r>
    </w:p>
    <w:p>
      <w:pPr>
        <w:spacing w:after="60"/>
        <w:ind w:left="510" w:hanging="340"/>
      </w:pPr>
      <w:r>
        <w:t>4.  Compare: (a) rank agreement between the tool's risk ordering and observed delay days per cause, with a permutation p-value and correction for multiple tests; (b) flagged risks that appear in the delay log, and logged causes the rules missed; (c) matrix levels with site-derived probabilities and delays against the actual slip.</w:t>
      </w:r>
    </w:p>
    <w:p>
      <w:pPr>
        <w:spacing w:after="60"/>
        <w:ind w:left="510" w:hanging="340"/>
      </w:pPr>
      <w:r>
        <w:t>5.  Report the result as an agreement check with its uncertainty and sample size, including cases where the tool was wrong.</w:t>
      </w:r>
    </w:p>
    <w:p>
      <w:pPr>
        <w:pStyle w:val="Heading2"/>
      </w:pPr>
      <w:r>
        <w:t>7.4 Limits to state in advance</w:t>
      </w:r>
    </w:p>
    <w:p>
      <w:pPr>
        <w:pStyle w:val="ListBullet"/>
        <w:spacing w:after="60"/>
      </w:pPr>
      <w:r>
        <w:t>One site gives one case. It can show where the tool agrees or fails; it cannot establish general validity.</w:t>
      </w:r>
    </w:p>
    <w:p>
      <w:pPr>
        <w:pStyle w:val="ListBullet"/>
        <w:spacing w:after="60"/>
      </w:pPr>
      <w:r>
        <w:t>The schedule may record fewer causes than occurred, and a single cause may carry several risks.</w:t>
      </w:r>
    </w:p>
    <w:p>
      <w:pPr>
        <w:pStyle w:val="ListBullet"/>
        <w:spacing w:after="60"/>
      </w:pPr>
      <w:r>
        <w:t>The statistical method is a proposal; the project's current literature check uses rank agreement with permutation p-values and correction, and the supervisor should confirm it (open decision 27 in lead_D.md).</w:t>
      </w:r>
    </w:p>
    <w:p>
      <w:pPr>
        <w:pStyle w:val="ListBullet"/>
        <w:spacing w:after="60"/>
      </w:pPr>
      <w:r>
        <w:t>The tool must not be tuned on the baseline site and then reported on the same site.</w:t>
      </w:r>
    </w:p>
    <w:p>
      <w:pPr>
        <w:pStyle w:val="Heading1"/>
      </w:pPr>
      <w:r>
        <w:t>8. Decisions needed</w:t>
      </w:r>
    </w:p>
    <w:tbl>
      <w:tblPr>
        <w:tblStyle w:val="TableGrid"/>
        <w:tblW w:type="auto" w:w="0"/>
        <w:jc w:val="center"/>
        <w:tblLayout w:type="fixed"/>
        <w:tblLook w:firstColumn="1" w:firstRow="1" w:lastColumn="0" w:lastRow="0" w:noHBand="0" w:noVBand="1" w:val="04A0"/>
      </w:tblPr>
      <w:tblGrid>
        <w:gridCol w:w="4649"/>
        <w:gridCol w:w="4649"/>
      </w:tblGrid>
      <w:tr>
        <w:tc>
          <w:tcPr>
            <w:tcW w:type="dxa" w:w="4649"/>
            <w:shd w:val="clear" w:color="auto" w:fill="B85042"/>
          </w:tcPr>
          <w:p>
            <w:r/>
            <w:r>
              <w:rPr>
                <w:b/>
                <w:color w:val="FFFFFF"/>
                <w:sz w:val="20"/>
              </w:rPr>
              <w:t>Decision</w:t>
            </w:r>
          </w:p>
        </w:tc>
        <w:tc>
          <w:tcPr>
            <w:tcW w:type="dxa" w:w="4535"/>
            <w:shd w:val="clear" w:color="auto" w:fill="B85042"/>
          </w:tcPr>
          <w:p>
            <w:r/>
            <w:r>
              <w:rPr>
                <w:b/>
                <w:color w:val="FFFFFF"/>
                <w:sz w:val="20"/>
              </w:rPr>
              <w:t>Why it matters</w:t>
            </w:r>
          </w:p>
        </w:tc>
      </w:tr>
      <w:tr>
        <w:tc>
          <w:tcPr>
            <w:tcW w:type="dxa" w:w="4649"/>
            <w:shd w:val="clear" w:color="auto" w:fill="F3EEEA"/>
          </w:tcPr>
          <w:p>
            <w:r/>
            <w:r>
              <w:rPr>
                <w:b/>
                <w:sz w:val="20"/>
              </w:rPr>
              <w:t>Scope: keep the cost and decision layer, or limit to identify, register, matrix</w:t>
            </w:r>
          </w:p>
        </w:tc>
        <w:tc>
          <w:tcPr>
            <w:tcW w:type="dxa" w:w="4535"/>
            <w:shd w:val="clear" w:color="auto" w:fill="F3EEEA"/>
          </w:tcPr>
          <w:p>
            <w:r/>
            <w:r>
              <w:rPr>
                <w:sz w:val="20"/>
              </w:rPr>
              <w:t>Docs disagree; the official title describes the larger scope; decides what else can be deleted.</w:t>
            </w:r>
          </w:p>
        </w:tc>
      </w:tr>
      <w:tr>
        <w:tc>
          <w:tcPr>
            <w:tcW w:type="dxa" w:w="4649"/>
            <w:shd w:val="clear" w:color="auto" w:fill="F3EEEA"/>
          </w:tcPr>
          <w:p>
            <w:r/>
            <w:r>
              <w:rPr>
                <w:b/>
                <w:sz w:val="20"/>
              </w:rPr>
              <w:t>Which site, which schedule export, and permission to use it</w:t>
            </w:r>
          </w:p>
        </w:tc>
        <w:tc>
          <w:tcPr>
            <w:tcW w:type="dxa" w:w="4535"/>
            <w:shd w:val="clear" w:color="auto" w:fill="F3EEEA"/>
          </w:tcPr>
          <w:p>
            <w:r/>
            <w:r>
              <w:rPr>
                <w:sz w:val="20"/>
              </w:rPr>
              <w:t>Without it the baseline test cannot start.</w:t>
            </w:r>
          </w:p>
        </w:tc>
      </w:tr>
      <w:tr>
        <w:tc>
          <w:tcPr>
            <w:tcW w:type="dxa" w:w="4649"/>
            <w:shd w:val="clear" w:color="auto" w:fill="F3EEEA"/>
          </w:tcPr>
          <w:p>
            <w:r/>
            <w:r>
              <w:rPr>
                <w:b/>
                <w:sz w:val="20"/>
              </w:rPr>
              <w:t>One record count for all literature figures</w:t>
            </w:r>
          </w:p>
        </w:tc>
        <w:tc>
          <w:tcPr>
            <w:tcW w:type="dxa" w:w="4535"/>
            <w:shd w:val="clear" w:color="auto" w:fill="F3EEEA"/>
          </w:tcPr>
          <w:p>
            <w:r/>
            <w:r>
              <w:rPr>
                <w:sz w:val="20"/>
              </w:rPr>
              <w:t>Reports quote different counts until the pending review is finished.</w:t>
            </w:r>
          </w:p>
        </w:tc>
      </w:tr>
      <w:tr>
        <w:tc>
          <w:tcPr>
            <w:tcW w:type="dxa" w:w="4649"/>
            <w:shd w:val="clear" w:color="auto" w:fill="F3EEEA"/>
          </w:tcPr>
          <w:p>
            <w:r/>
            <w:r>
              <w:rPr>
                <w:b/>
                <w:sz w:val="20"/>
              </w:rPr>
              <w:t>Regenerate or retire old Word documents</w:t>
            </w:r>
          </w:p>
        </w:tc>
        <w:tc>
          <w:tcPr>
            <w:tcW w:type="dxa" w:w="4535"/>
            <w:shd w:val="clear" w:color="auto" w:fill="F3EEEA"/>
          </w:tcPr>
          <w:p>
            <w:r/>
            <w:r>
              <w:rPr>
                <w:sz w:val="20"/>
              </w:rPr>
              <w:t>They still carry withdrawn wording and old counts.</w:t>
            </w:r>
          </w:p>
        </w:tc>
      </w:tr>
      <w:tr>
        <w:tc>
          <w:tcPr>
            <w:tcW w:type="dxa" w:w="4649"/>
            <w:shd w:val="clear" w:color="auto" w:fill="F3EEEA"/>
          </w:tcPr>
          <w:p>
            <w:r/>
            <w:r>
              <w:rPr>
                <w:b/>
                <w:sz w:val="20"/>
              </w:rPr>
              <w:t>Statistical method for the site comparison</w:t>
            </w:r>
          </w:p>
        </w:tc>
        <w:tc>
          <w:tcPr>
            <w:tcW w:type="dxa" w:w="4535"/>
            <w:shd w:val="clear" w:color="auto" w:fill="F3EEEA"/>
          </w:tcPr>
          <w:p>
            <w:r/>
            <w:r>
              <w:rPr>
                <w:sz w:val="20"/>
              </w:rPr>
              <w:t>Fixes how agreement will be reported.</w:t>
            </w:r>
          </w:p>
        </w:tc>
      </w:tr>
    </w:tbl>
    <w:p>
      <w:pPr>
        <w:spacing w:after="40"/>
      </w:pPr>
    </w:p>
    <w:p>
      <w:pPr>
        <w:pStyle w:val="Heading1"/>
      </w:pPr>
      <w:r>
        <w:t>Appendix A. Where every number comes from</w:t>
      </w:r>
    </w:p>
    <w:tbl>
      <w:tblPr>
        <w:tblStyle w:val="TableGrid"/>
        <w:tblW w:type="auto" w:w="0"/>
        <w:jc w:val="center"/>
        <w:tblLayout w:type="fixed"/>
        <w:tblLook w:firstColumn="1" w:firstRow="1" w:lastColumn="0" w:lastRow="0" w:noHBand="0" w:noVBand="1" w:val="04A0"/>
      </w:tblPr>
      <w:tblGrid>
        <w:gridCol w:w="4649"/>
        <w:gridCol w:w="4649"/>
      </w:tblGrid>
      <w:tr>
        <w:tc>
          <w:tcPr>
            <w:tcW w:type="dxa" w:w="4535"/>
            <w:shd w:val="clear" w:color="auto" w:fill="B85042"/>
          </w:tcPr>
          <w:p>
            <w:r/>
            <w:r>
              <w:rPr>
                <w:b/>
                <w:color w:val="FFFFFF"/>
                <w:sz w:val="20"/>
              </w:rPr>
              <w:t>Figure</w:t>
            </w:r>
          </w:p>
        </w:tc>
        <w:tc>
          <w:tcPr>
            <w:tcW w:type="dxa" w:w="4649"/>
            <w:shd w:val="clear" w:color="auto" w:fill="B85042"/>
          </w:tcPr>
          <w:p>
            <w:r/>
            <w:r>
              <w:rPr>
                <w:b/>
                <w:color w:val="FFFFFF"/>
                <w:sz w:val="20"/>
              </w:rPr>
              <w:t>Source</w:t>
            </w:r>
          </w:p>
        </w:tc>
      </w:tr>
      <w:tr>
        <w:tc>
          <w:tcPr>
            <w:tcW w:type="dxa" w:w="4535"/>
            <w:shd w:val="clear" w:color="auto" w:fill="F3EEEA"/>
          </w:tcPr>
          <w:p>
            <w:r/>
            <w:r>
              <w:rPr>
                <w:b/>
                <w:sz w:val="20"/>
              </w:rPr>
              <w:t>46 risks, 22 rules, 182 rows, 11 studies, 13 catalogue entries, 472 evidence ids</w:t>
            </w:r>
          </w:p>
        </w:tc>
        <w:tc>
          <w:tcPr>
            <w:tcW w:type="dxa" w:w="4649"/>
            <w:shd w:val="clear" w:color="auto" w:fill="F3EEEA"/>
          </w:tcPr>
          <w:p>
            <w:r/>
            <w:r>
              <w:rPr>
                <w:sz w:val="20"/>
              </w:rPr>
              <w:t>python scripts/check_data.py on the final commit</w:t>
            </w:r>
          </w:p>
        </w:tc>
      </w:tr>
      <w:tr>
        <w:tc>
          <w:tcPr>
            <w:tcW w:type="dxa" w:w="4535"/>
            <w:shd w:val="clear" w:color="auto" w:fill="F3EEEA"/>
          </w:tcPr>
          <w:p>
            <w:r/>
            <w:r>
              <w:rPr>
                <w:b/>
                <w:sz w:val="20"/>
              </w:rPr>
              <w:t>600 passed, 3 skipped, 603 collected; 553 before</w:t>
            </w:r>
          </w:p>
        </w:tc>
        <w:tc>
          <w:tcPr>
            <w:tcW w:type="dxa" w:w="4649"/>
            <w:shd w:val="clear" w:color="auto" w:fill="F3EEEA"/>
          </w:tcPr>
          <w:p>
            <w:r/>
            <w:r>
              <w:rPr>
                <w:sz w:val="20"/>
              </w:rPr>
              <w:t>python -m pytest tests -q (baseline run on 2026-10-12 before changes; final run 2026-10-13)</w:t>
            </w:r>
          </w:p>
        </w:tc>
      </w:tr>
      <w:tr>
        <w:tc>
          <w:tcPr>
            <w:tcW w:type="dxa" w:w="4535"/>
            <w:shd w:val="clear" w:color="auto" w:fill="F3EEEA"/>
          </w:tcPr>
          <w:p>
            <w:r/>
            <w:r>
              <w:rPr>
                <w:b/>
                <w:sz w:val="20"/>
              </w:rPr>
              <w:t>140 findings (15, 20, 48, 31, 26)</w:t>
            </w:r>
          </w:p>
        </w:tc>
        <w:tc>
          <w:tcPr>
            <w:tcW w:type="dxa" w:w="4649"/>
            <w:shd w:val="clear" w:color="auto" w:fill="F3EEEA"/>
          </w:tcPr>
          <w:p>
            <w:r/>
            <w:r>
              <w:rPr>
                <w:sz w:val="20"/>
              </w:rPr>
              <w:t>docs/refine_round_1/lead_A.md, A2_error_path.md, lead_B.md, lead_C.md, lead_D.md</w:t>
            </w:r>
          </w:p>
        </w:tc>
      </w:tr>
      <w:tr>
        <w:tc>
          <w:tcPr>
            <w:tcW w:type="dxa" w:w="4535"/>
            <w:shd w:val="clear" w:color="auto" w:fill="F3EEEA"/>
          </w:tcPr>
          <w:p>
            <w:r/>
            <w:r>
              <w:rPr>
                <w:b/>
                <w:sz w:val="20"/>
              </w:rPr>
              <w:t>509 px overflow before, none after</w:t>
            </w:r>
          </w:p>
        </w:tc>
        <w:tc>
          <w:tcPr>
            <w:tcW w:type="dxa" w:w="4649"/>
            <w:shd w:val="clear" w:color="auto" w:fill="F3EEEA"/>
          </w:tcPr>
          <w:p>
            <w:r/>
            <w:r>
              <w:rPr>
                <w:sz w:val="20"/>
              </w:rPr>
              <w:t>scripts/gui_layout_check.py at 375 px</w:t>
            </w:r>
          </w:p>
        </w:tc>
      </w:tr>
      <w:tr>
        <w:tc>
          <w:tcPr>
            <w:tcW w:type="dxa" w:w="4535"/>
            <w:shd w:val="clear" w:color="auto" w:fill="F3EEEA"/>
          </w:tcPr>
          <w:p>
            <w:r/>
            <w:r>
              <w:rPr>
                <w:b/>
                <w:sz w:val="20"/>
              </w:rPr>
              <w:t>30 of 46 seeded; 14 of 30 on one study; ranks 12/13 differ by 0.0008</w:t>
            </w:r>
          </w:p>
        </w:tc>
        <w:tc>
          <w:tcPr>
            <w:tcW w:type="dxa" w:w="4649"/>
            <w:shd w:val="clear" w:color="auto" w:fill="F3EEEA"/>
          </w:tcPr>
          <w:p>
            <w:r/>
            <w:r>
              <w:rPr>
                <w:sz w:val="20"/>
              </w:rPr>
              <w:t>docs/refine_round_1/lead_D.md (verified there against the seed)</w:t>
            </w:r>
          </w:p>
        </w:tc>
      </w:tr>
      <w:tr>
        <w:tc>
          <w:tcPr>
            <w:tcW w:type="dxa" w:w="4535"/>
            <w:shd w:val="clear" w:color="auto" w:fill="F3EEEA"/>
          </w:tcPr>
          <w:p>
            <w:r/>
            <w:r>
              <w:rPr>
                <w:b/>
                <w:sz w:val="20"/>
              </w:rPr>
              <w:t>Corpus counts 3,975 / 4,736 / 5,214; 761 pending</w:t>
            </w:r>
          </w:p>
        </w:tc>
        <w:tc>
          <w:tcPr>
            <w:tcW w:type="dxa" w:w="4649"/>
            <w:shd w:val="clear" w:color="auto" w:fill="F3EEEA"/>
          </w:tcPr>
          <w:p>
            <w:r/>
            <w:r>
              <w:rPr>
                <w:sz w:val="20"/>
              </w:rPr>
              <w:t>Reports and Lead C/D audit; not re-derived here because the local database is not in the repository</w:t>
            </w:r>
          </w:p>
        </w:tc>
      </w:tr>
    </w:tbl>
    <w:p>
      <w:pPr>
        <w:spacing w:after="40"/>
      </w:pPr>
    </w:p>
    <w:p>
      <w:r>
        <w:rPr>
          <w:b w:val="0"/>
          <w:i/>
          <w:sz w:val="20"/>
        </w:rPr>
        <w:t>All work is on branch session/2026-10-12-literature-refinement-c2v60n (pull request #1). Nothing was merged into main. Full round-1 outcome: docs/refine_round_1/outcome.md. Audit and clean-up note: docs/Project_Audit_2026-10-13.md.</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2B25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mbria" w:hAnsi="Cambria" w:eastAsia="Cambria"/>
      <w:b/>
      <w:bCs/>
      <w:color w:val="B8504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B8504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Cambria"/>
      <w:b/>
      <w:color w:val="2B25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