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MUTUAL NON-DISCLOSURE AGREEMENT</w:t>
      </w:r>
    </w:p>
    <w:p>
      <w:r>
        <w:t>This Mutual Non-Disclosure Agreement is made as of June 1, 2026 between Acme Corp and Vendor LLC. Each is referred to as a Party. The Parties are evaluating a potential business relationship and may share confidential information.</w:t>
      </w:r>
    </w:p>
    <w:p>
      <w:pPr>
        <w:pStyle w:val="Heading2"/>
      </w:pPr>
      <w:r>
        <w:t>Confidentiality</w:t>
      </w:r>
    </w:p>
    <w:p>
      <w:r>
        <w:t>Confidential Information means non-public information that one Party shares with the other and that is marked confidential or that a reasonable person would understand to be confidential, such as business plans, financial data, and technical information.</w:t>
      </w:r>
    </w:p>
    <w:p>
      <w:pPr>
        <w:pStyle w:val="Heading2"/>
      </w:pPr>
      <w:r>
        <w:t>Use and Protection</w:t>
      </w:r>
    </w:p>
    <w:p>
      <w:r>
        <w:t>Each Party will use the other's Confidential Information solely to evaluate the business relationship and will protect it with reasonable care, sharing it only with personnel who need to know.</w:t>
      </w:r>
    </w:p>
    <w:p>
      <w:pPr>
        <w:pStyle w:val="Heading2"/>
      </w:pPr>
      <w:r>
        <w:t>Exceptions</w:t>
      </w:r>
    </w:p>
    <w:p>
      <w:r>
        <w:t>Confidential Information does not include information that is public through no fault of the receiving Party, was already known to it, is independently developed, or is lawfully obtained from a third party.</w:t>
      </w:r>
    </w:p>
    <w:p>
      <w:pPr>
        <w:pStyle w:val="Heading2"/>
      </w:pPr>
      <w:r>
        <w:t>Term</w:t>
      </w:r>
    </w:p>
    <w:p>
      <w:r>
        <w:t>This Agreement lasts for two (2) years, and each Party's confidentiality duties continue for three (3) years after disclosure.</w:t>
      </w:r>
    </w:p>
    <w:p>
      <w:pPr>
        <w:pStyle w:val="Heading2"/>
      </w:pPr>
      <w:r>
        <w:t>Return of Materials</w:t>
      </w:r>
    </w:p>
    <w:p>
      <w:r>
        <w:t>On written request, each Party will return or delete the other's Confidential Information, keeping only routine backup copies that remain protected.</w:t>
      </w:r>
    </w:p>
    <w:p>
      <w:pPr>
        <w:pStyle w:val="Heading2"/>
      </w:pPr>
      <w:r>
        <w:t>Governing Law</w:t>
      </w:r>
    </w:p>
    <w:p>
      <w:r>
        <w:t>This Agreement is governed by the laws of the State of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