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1328"/>
        <w:gridCol w:w="839"/>
        <w:gridCol w:w="961"/>
        <w:gridCol w:w="1120"/>
        <w:gridCol w:w="1181"/>
        <w:gridCol w:w="1658"/>
        <w:gridCol w:w="839"/>
      </w:tblGrid>
      <w:tr>
        <w:trPr>
          <w:trHeight w:val="613" w:hRule="auto"/>
          <w:tblHeader/>
        </w:trPr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</w:p>
        </w:tc>
        <w:tc>
          <w:tcPr>
            <w:tcBorders>
              <w:bottom w:val="single" w:sz="8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η²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State transition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0.20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729.7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4.87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0.001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[0.12, 0.28]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Dynamic Rewards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890.6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[0.02, 0.15]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Irrelevant features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892.8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 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[-0.16, -0.02]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Color Reward Mapping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893.7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[-0.05, 0.08]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 Pairs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889.3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[-0.11, 0.02]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2026-10-20T16:17:37Z</dcterms:modified>
  <cp:category/>
</cp:coreProperties>
</file>