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BA7DAA" w:rsidRPr="00B75AF0" w:rsidRDefault="00CD4C0A" w:rsidP="00212DDD">
      <w:pPr>
        <w:jc w:val="both"/>
        <w:rPr>
          <w:rFonts w:ascii="Times New Roman" w:eastAsia="Roboto" w:hAnsi="Times New Roman" w:cs="Times New Roman"/>
          <w:b/>
          <w:sz w:val="24"/>
          <w:szCs w:val="24"/>
        </w:rPr>
      </w:pPr>
      <w:r w:rsidRPr="00B75AF0">
        <w:rPr>
          <w:rFonts w:ascii="Times New Roman" w:eastAsia="Roboto" w:hAnsi="Times New Roman" w:cs="Times New Roman"/>
          <w:b/>
          <w:sz w:val="24"/>
          <w:szCs w:val="24"/>
        </w:rPr>
        <w:t>Dynamics of a Complex System: Investigating the Interplay between Food Security, Transition to Renewable Energy, Democracy, and Governance in Africa</w:t>
      </w:r>
    </w:p>
    <w:p w14:paraId="00000002" w14:textId="77777777" w:rsidR="00BA7DAA" w:rsidRPr="00212DDD" w:rsidRDefault="00BA7DAA" w:rsidP="00212DDD">
      <w:pPr>
        <w:jc w:val="both"/>
        <w:rPr>
          <w:rFonts w:ascii="Times New Roman" w:eastAsia="Roboto" w:hAnsi="Times New Roman" w:cs="Times New Roman"/>
          <w:b/>
          <w:color w:val="374151"/>
          <w:sz w:val="24"/>
          <w:szCs w:val="24"/>
        </w:rPr>
      </w:pPr>
    </w:p>
    <w:p w14:paraId="00000003" w14:textId="77777777" w:rsidR="00BA7DAA" w:rsidRPr="00212DDD" w:rsidRDefault="00BA7DAA" w:rsidP="00212DDD">
      <w:pPr>
        <w:jc w:val="both"/>
        <w:rPr>
          <w:rFonts w:ascii="Times New Roman" w:eastAsia="Roboto" w:hAnsi="Times New Roman" w:cs="Times New Roman"/>
          <w:b/>
          <w:color w:val="374151"/>
          <w:sz w:val="24"/>
          <w:szCs w:val="24"/>
        </w:rPr>
      </w:pPr>
    </w:p>
    <w:p w14:paraId="00000004" w14:textId="77777777" w:rsidR="00BA7DAA" w:rsidRPr="00FB0A52" w:rsidRDefault="00CD4C0A" w:rsidP="00212DDD">
      <w:pPr>
        <w:jc w:val="both"/>
        <w:rPr>
          <w:rFonts w:ascii="Times New Roman" w:eastAsia="Roboto" w:hAnsi="Times New Roman" w:cs="Times New Roman"/>
          <w:b/>
          <w:color w:val="374151"/>
          <w:sz w:val="24"/>
          <w:szCs w:val="24"/>
        </w:rPr>
      </w:pPr>
      <w:r w:rsidRPr="00FB0A52">
        <w:rPr>
          <w:rFonts w:ascii="Times New Roman" w:eastAsia="Roboto" w:hAnsi="Times New Roman" w:cs="Times New Roman"/>
          <w:b/>
          <w:color w:val="374151"/>
          <w:sz w:val="24"/>
          <w:szCs w:val="24"/>
        </w:rPr>
        <w:t>Abstract</w:t>
      </w:r>
    </w:p>
    <w:p w14:paraId="00000005" w14:textId="77777777" w:rsidR="00BA7DAA" w:rsidRPr="00212DDD" w:rsidRDefault="00BA7DAA" w:rsidP="00212DDD">
      <w:pPr>
        <w:jc w:val="both"/>
        <w:rPr>
          <w:rFonts w:ascii="Times New Roman" w:eastAsia="Roboto" w:hAnsi="Times New Roman" w:cs="Times New Roman"/>
          <w:color w:val="374151"/>
          <w:sz w:val="24"/>
          <w:szCs w:val="24"/>
        </w:rPr>
      </w:pPr>
    </w:p>
    <w:p w14:paraId="00000006" w14:textId="5B146346" w:rsidR="00BA7DAA" w:rsidRPr="00757056" w:rsidRDefault="00FB0A52" w:rsidP="00757056">
      <w:pPr>
        <w:jc w:val="both"/>
        <w:rPr>
          <w:rFonts w:ascii="Times New Roman" w:hAnsi="Times New Roman" w:cs="Times New Roman"/>
          <w:sz w:val="24"/>
          <w:szCs w:val="24"/>
        </w:rPr>
      </w:pPr>
      <w:r w:rsidRPr="00757056">
        <w:rPr>
          <w:rFonts w:ascii="Times New Roman" w:hAnsi="Times New Roman" w:cs="Times New Roman"/>
          <w:sz w:val="24"/>
          <w:szCs w:val="24"/>
        </w:rPr>
        <w:t>In a time when climate patterns change, governance structures evolve, and economic landscapes shift, understanding food security, renewable energy adoption, and democratic governance in Africa is crucial for achieving sustainable development and resilience on the continent. This study investigates the intricate dynamics of food security, renewable energy transition, democratic governance, and economic policies across 51 African countries from 2000 -2022. Employing panel regression analysis with fixed effects, we analyse data spanning various regions of Africa and examine the interplay between key variables. Key findings reveal signific</w:t>
      </w:r>
      <w:bookmarkStart w:id="0" w:name="_GoBack"/>
      <w:bookmarkEnd w:id="0"/>
      <w:r w:rsidRPr="00757056">
        <w:rPr>
          <w:rFonts w:ascii="Times New Roman" w:hAnsi="Times New Roman" w:cs="Times New Roman"/>
          <w:sz w:val="24"/>
          <w:szCs w:val="24"/>
        </w:rPr>
        <w:t>ant associations between certain variables and food security outcomes. While Transparency, Accountability, and Corruption (CPIA), Electoral Democracy (DEM), and ), Renewables - % Electricity (REN) display positive correlations with food supply across different African regions, Ease of Doing Business (EDB) and Foreign Direct Investment (FDI) exhibit varied impacts. Notably, renewable energy integration emerges as a crucial factor positively influencing food security, particularly in Southern Africa. Moreover, the study underscores the importance of democratic governance and transparent economic policies in fostering food security initiatives. Embracing transparent governance, fostering renewable energy integration, and prioritizing inclusive democratic practices are pivotal steps towards fostering enduring food security solutions across Africa</w:t>
      </w:r>
    </w:p>
    <w:p w14:paraId="00000007" w14:textId="77777777" w:rsidR="00BA7DAA" w:rsidRPr="00212DDD" w:rsidRDefault="00BA7DAA" w:rsidP="00212DDD">
      <w:pPr>
        <w:jc w:val="both"/>
        <w:rPr>
          <w:rFonts w:ascii="Times New Roman" w:eastAsia="Roboto" w:hAnsi="Times New Roman" w:cs="Times New Roman"/>
          <w:color w:val="374151"/>
          <w:sz w:val="24"/>
          <w:szCs w:val="24"/>
        </w:rPr>
      </w:pPr>
    </w:p>
    <w:p w14:paraId="00000008" w14:textId="3B04DF8F" w:rsidR="00BA7DAA" w:rsidRPr="00B75AF0" w:rsidRDefault="00B75AF0" w:rsidP="00B75AF0">
      <w:pPr>
        <w:pStyle w:val="ListParagraph"/>
        <w:numPr>
          <w:ilvl w:val="0"/>
          <w:numId w:val="7"/>
        </w:numPr>
        <w:jc w:val="both"/>
        <w:rPr>
          <w:rFonts w:ascii="Times New Roman" w:eastAsia="Roboto" w:hAnsi="Times New Roman" w:cs="Times New Roman"/>
          <w:b/>
          <w:color w:val="374151"/>
          <w:sz w:val="24"/>
          <w:szCs w:val="24"/>
        </w:rPr>
      </w:pPr>
      <w:r w:rsidRPr="00B75AF0">
        <w:rPr>
          <w:rFonts w:ascii="Times New Roman" w:eastAsia="Roboto" w:hAnsi="Times New Roman" w:cs="Times New Roman"/>
          <w:b/>
          <w:color w:val="374151"/>
          <w:sz w:val="24"/>
          <w:szCs w:val="24"/>
        </w:rPr>
        <w:t>Introduction</w:t>
      </w:r>
    </w:p>
    <w:p w14:paraId="0000000B" w14:textId="3982228D" w:rsidR="00BA7DAA" w:rsidRPr="00757056" w:rsidRDefault="00CD4C0A" w:rsidP="00757056">
      <w:pPr>
        <w:jc w:val="both"/>
        <w:rPr>
          <w:rFonts w:ascii="Times New Roman" w:hAnsi="Times New Roman" w:cs="Times New Roman"/>
          <w:sz w:val="24"/>
          <w:szCs w:val="24"/>
        </w:rPr>
      </w:pPr>
      <w:r w:rsidRPr="00757056">
        <w:rPr>
          <w:rFonts w:ascii="Times New Roman" w:hAnsi="Times New Roman" w:cs="Times New Roman"/>
          <w:sz w:val="24"/>
          <w:szCs w:val="24"/>
        </w:rPr>
        <w:t xml:space="preserve">The issue of food security is a significant concern for policymakers and researchers, especially as </w:t>
      </w:r>
      <w:r w:rsidR="003A25CE" w:rsidRPr="00757056">
        <w:rPr>
          <w:rFonts w:ascii="Times New Roman" w:hAnsi="Times New Roman" w:cs="Times New Roman"/>
          <w:sz w:val="24"/>
          <w:szCs w:val="24"/>
        </w:rPr>
        <w:t>society’s</w:t>
      </w:r>
      <w:r w:rsidRPr="00757056">
        <w:rPr>
          <w:rFonts w:ascii="Times New Roman" w:hAnsi="Times New Roman" w:cs="Times New Roman"/>
          <w:sz w:val="24"/>
          <w:szCs w:val="24"/>
        </w:rPr>
        <w:t xml:space="preserve"> transition to renewable energy sources</w:t>
      </w:r>
      <w:r w:rsidR="00F50104" w:rsidRPr="00757056">
        <w:rPr>
          <w:rFonts w:ascii="Times New Roman" w:hAnsi="Times New Roman" w:cs="Times New Roman"/>
          <w:sz w:val="24"/>
          <w:szCs w:val="24"/>
        </w:rPr>
        <w:t xml:space="preserve"> such as wind and solar</w:t>
      </w:r>
      <w:r w:rsidRPr="00757056">
        <w:rPr>
          <w:rFonts w:ascii="Times New Roman" w:hAnsi="Times New Roman" w:cs="Times New Roman"/>
          <w:sz w:val="24"/>
          <w:szCs w:val="24"/>
        </w:rPr>
        <w:t>. The relationship between food security and the adoption of renewable energy in Africa is complex (</w:t>
      </w:r>
      <w:proofErr w:type="spellStart"/>
      <w:r w:rsidRPr="00757056">
        <w:rPr>
          <w:rFonts w:ascii="Times New Roman" w:hAnsi="Times New Roman" w:cs="Times New Roman"/>
          <w:sz w:val="24"/>
          <w:szCs w:val="24"/>
          <w:highlight w:val="white"/>
        </w:rPr>
        <w:t>Bellezoni</w:t>
      </w:r>
      <w:proofErr w:type="spellEnd"/>
      <w:r w:rsidRPr="00757056">
        <w:rPr>
          <w:rFonts w:ascii="Times New Roman" w:hAnsi="Times New Roman" w:cs="Times New Roman"/>
          <w:sz w:val="24"/>
          <w:szCs w:val="24"/>
          <w:highlight w:val="white"/>
        </w:rPr>
        <w:t xml:space="preserve"> et al., 2021)</w:t>
      </w:r>
      <w:r w:rsidRPr="00757056">
        <w:rPr>
          <w:rFonts w:ascii="Times New Roman" w:hAnsi="Times New Roman" w:cs="Times New Roman"/>
          <w:sz w:val="24"/>
          <w:szCs w:val="24"/>
        </w:rPr>
        <w:t xml:space="preserve">. </w:t>
      </w:r>
      <w:r w:rsidR="003A25CE" w:rsidRPr="00757056">
        <w:rPr>
          <w:rFonts w:ascii="Times New Roman" w:hAnsi="Times New Roman" w:cs="Times New Roman"/>
          <w:sz w:val="24"/>
          <w:szCs w:val="24"/>
        </w:rPr>
        <w:t>Proponents of renewable energy</w:t>
      </w:r>
      <w:r w:rsidRPr="00757056">
        <w:rPr>
          <w:rFonts w:ascii="Times New Roman" w:hAnsi="Times New Roman" w:cs="Times New Roman"/>
          <w:sz w:val="24"/>
          <w:szCs w:val="24"/>
        </w:rPr>
        <w:t xml:space="preserve"> argue that </w:t>
      </w:r>
      <w:r w:rsidR="003A25CE" w:rsidRPr="00757056">
        <w:rPr>
          <w:rFonts w:ascii="Times New Roman" w:hAnsi="Times New Roman" w:cs="Times New Roman"/>
          <w:sz w:val="24"/>
          <w:szCs w:val="24"/>
        </w:rPr>
        <w:t>it</w:t>
      </w:r>
      <w:r w:rsidRPr="00757056">
        <w:rPr>
          <w:rFonts w:ascii="Times New Roman" w:hAnsi="Times New Roman" w:cs="Times New Roman"/>
          <w:sz w:val="24"/>
          <w:szCs w:val="24"/>
        </w:rPr>
        <w:t xml:space="preserve"> can improve agricultural productivity by enabling sustainable irrigation and mechanization, thus promoting food security (van </w:t>
      </w:r>
      <w:proofErr w:type="spellStart"/>
      <w:r w:rsidRPr="00757056">
        <w:rPr>
          <w:rFonts w:ascii="Times New Roman" w:hAnsi="Times New Roman" w:cs="Times New Roman"/>
          <w:sz w:val="24"/>
          <w:szCs w:val="24"/>
        </w:rPr>
        <w:t>Dijk</w:t>
      </w:r>
      <w:proofErr w:type="spellEnd"/>
      <w:r w:rsidRPr="00757056">
        <w:rPr>
          <w:rFonts w:ascii="Times New Roman" w:hAnsi="Times New Roman" w:cs="Times New Roman"/>
          <w:sz w:val="24"/>
          <w:szCs w:val="24"/>
        </w:rPr>
        <w:t xml:space="preserve"> et al., 2021). </w:t>
      </w:r>
      <w:r w:rsidR="003A25CE" w:rsidRPr="00757056">
        <w:rPr>
          <w:rFonts w:ascii="Times New Roman" w:hAnsi="Times New Roman" w:cs="Times New Roman"/>
          <w:sz w:val="24"/>
          <w:szCs w:val="24"/>
        </w:rPr>
        <w:t xml:space="preserve">According to </w:t>
      </w:r>
      <w:proofErr w:type="spellStart"/>
      <w:r w:rsidR="003A25CE" w:rsidRPr="00757056">
        <w:rPr>
          <w:rFonts w:ascii="Times New Roman" w:hAnsi="Times New Roman" w:cs="Times New Roman"/>
          <w:sz w:val="24"/>
          <w:szCs w:val="24"/>
        </w:rPr>
        <w:t>Nitescu</w:t>
      </w:r>
      <w:proofErr w:type="spellEnd"/>
      <w:r w:rsidR="003A25CE" w:rsidRPr="00757056">
        <w:rPr>
          <w:rFonts w:ascii="Times New Roman" w:hAnsi="Times New Roman" w:cs="Times New Roman"/>
          <w:sz w:val="24"/>
          <w:szCs w:val="24"/>
        </w:rPr>
        <w:t xml:space="preserve"> &amp; </w:t>
      </w:r>
      <w:proofErr w:type="spellStart"/>
      <w:r w:rsidR="003A25CE" w:rsidRPr="00757056">
        <w:rPr>
          <w:rFonts w:ascii="Times New Roman" w:hAnsi="Times New Roman" w:cs="Times New Roman"/>
          <w:sz w:val="24"/>
          <w:szCs w:val="24"/>
        </w:rPr>
        <w:t>Murgu</w:t>
      </w:r>
      <w:proofErr w:type="spellEnd"/>
      <w:r w:rsidR="003A25CE" w:rsidRPr="00757056">
        <w:rPr>
          <w:rFonts w:ascii="Times New Roman" w:hAnsi="Times New Roman" w:cs="Times New Roman"/>
          <w:sz w:val="24"/>
          <w:szCs w:val="24"/>
        </w:rPr>
        <w:t xml:space="preserve"> (2020), countries that have integrated renewable energy extensively tend to have better food security indicators. </w:t>
      </w:r>
      <w:r w:rsidRPr="00757056">
        <w:rPr>
          <w:rFonts w:ascii="Times New Roman" w:hAnsi="Times New Roman" w:cs="Times New Roman"/>
          <w:sz w:val="24"/>
          <w:szCs w:val="24"/>
        </w:rPr>
        <w:t>Although sustainable energy can help mitigate the effects of climate change on agriculture and lead to increased food production, ther</w:t>
      </w:r>
      <w:r w:rsidR="003A25CE" w:rsidRPr="00757056">
        <w:rPr>
          <w:rFonts w:ascii="Times New Roman" w:hAnsi="Times New Roman" w:cs="Times New Roman"/>
          <w:sz w:val="24"/>
          <w:szCs w:val="24"/>
        </w:rPr>
        <w:t>e are disparities in research findings and opinions</w:t>
      </w:r>
      <w:r w:rsidRPr="00757056">
        <w:rPr>
          <w:rFonts w:ascii="Times New Roman" w:hAnsi="Times New Roman" w:cs="Times New Roman"/>
          <w:sz w:val="24"/>
          <w:szCs w:val="24"/>
        </w:rPr>
        <w:t>. Opponents</w:t>
      </w:r>
      <w:r w:rsidR="003A25CE" w:rsidRPr="00757056">
        <w:rPr>
          <w:rFonts w:ascii="Times New Roman" w:hAnsi="Times New Roman" w:cs="Times New Roman"/>
          <w:sz w:val="24"/>
          <w:szCs w:val="24"/>
        </w:rPr>
        <w:t xml:space="preserve"> of the transition to renewable </w:t>
      </w:r>
      <w:proofErr w:type="gramStart"/>
      <w:r w:rsidR="003A25CE" w:rsidRPr="00757056">
        <w:rPr>
          <w:rFonts w:ascii="Times New Roman" w:hAnsi="Times New Roman" w:cs="Times New Roman"/>
          <w:sz w:val="24"/>
          <w:szCs w:val="24"/>
        </w:rPr>
        <w:t xml:space="preserve">energy </w:t>
      </w:r>
      <w:r w:rsidRPr="00757056">
        <w:rPr>
          <w:rFonts w:ascii="Times New Roman" w:hAnsi="Times New Roman" w:cs="Times New Roman"/>
          <w:sz w:val="24"/>
          <w:szCs w:val="24"/>
        </w:rPr>
        <w:t xml:space="preserve"> highlight</w:t>
      </w:r>
      <w:proofErr w:type="gramEnd"/>
      <w:r w:rsidRPr="00757056">
        <w:rPr>
          <w:rFonts w:ascii="Times New Roman" w:hAnsi="Times New Roman" w:cs="Times New Roman"/>
          <w:sz w:val="24"/>
          <w:szCs w:val="24"/>
        </w:rPr>
        <w:t xml:space="preserve"> the initial high costs of renewable energy infrastructure, which may take away resources from crucial agricultural investments (Ahmed et al., 2021). Moreover, the intermittent supply of energy from renewable sources could disrupt important farming activities, potentially worsening food insecurity (van </w:t>
      </w:r>
      <w:proofErr w:type="spellStart"/>
      <w:r w:rsidRPr="00757056">
        <w:rPr>
          <w:rFonts w:ascii="Times New Roman" w:hAnsi="Times New Roman" w:cs="Times New Roman"/>
          <w:sz w:val="24"/>
          <w:szCs w:val="24"/>
        </w:rPr>
        <w:t>Dijk</w:t>
      </w:r>
      <w:proofErr w:type="spellEnd"/>
      <w:r w:rsidRPr="00757056">
        <w:rPr>
          <w:rFonts w:ascii="Times New Roman" w:hAnsi="Times New Roman" w:cs="Times New Roman"/>
          <w:sz w:val="24"/>
          <w:szCs w:val="24"/>
        </w:rPr>
        <w:t xml:space="preserve"> et al., 2021). Given regional differences</w:t>
      </w:r>
      <w:r w:rsidR="003A25CE" w:rsidRPr="00757056">
        <w:rPr>
          <w:rFonts w:ascii="Times New Roman" w:hAnsi="Times New Roman" w:cs="Times New Roman"/>
          <w:sz w:val="24"/>
          <w:szCs w:val="24"/>
        </w:rPr>
        <w:t xml:space="preserve"> and </w:t>
      </w:r>
      <w:proofErr w:type="gramStart"/>
      <w:r w:rsidR="003A25CE" w:rsidRPr="00757056">
        <w:rPr>
          <w:rFonts w:ascii="Times New Roman" w:hAnsi="Times New Roman" w:cs="Times New Roman"/>
          <w:sz w:val="24"/>
          <w:szCs w:val="24"/>
        </w:rPr>
        <w:t xml:space="preserve">peculiarities </w:t>
      </w:r>
      <w:r w:rsidRPr="00757056">
        <w:rPr>
          <w:rFonts w:ascii="Times New Roman" w:hAnsi="Times New Roman" w:cs="Times New Roman"/>
          <w:sz w:val="24"/>
          <w:szCs w:val="24"/>
        </w:rPr>
        <w:t xml:space="preserve"> in</w:t>
      </w:r>
      <w:proofErr w:type="gramEnd"/>
      <w:r w:rsidRPr="00757056">
        <w:rPr>
          <w:rFonts w:ascii="Times New Roman" w:hAnsi="Times New Roman" w:cs="Times New Roman"/>
          <w:sz w:val="24"/>
          <w:szCs w:val="24"/>
        </w:rPr>
        <w:t xml:space="preserve"> governance strate</w:t>
      </w:r>
      <w:r w:rsidR="003A25CE" w:rsidRPr="00757056">
        <w:rPr>
          <w:rFonts w:ascii="Times New Roman" w:hAnsi="Times New Roman" w:cs="Times New Roman"/>
          <w:sz w:val="24"/>
          <w:szCs w:val="24"/>
        </w:rPr>
        <w:t>gies and socio-economic factors, there is the need to study the transition to renewable energy based on the regional peculiarities</w:t>
      </w:r>
      <w:r w:rsidRPr="00757056">
        <w:rPr>
          <w:rFonts w:ascii="Times New Roman" w:hAnsi="Times New Roman" w:cs="Times New Roman"/>
          <w:sz w:val="24"/>
          <w:szCs w:val="24"/>
        </w:rPr>
        <w:t>.</w:t>
      </w:r>
    </w:p>
    <w:p w14:paraId="0000000E" w14:textId="77777777" w:rsidR="00BA7DAA" w:rsidRPr="00757056" w:rsidRDefault="00BA7DAA" w:rsidP="00757056">
      <w:pPr>
        <w:jc w:val="both"/>
        <w:rPr>
          <w:rFonts w:ascii="Times New Roman" w:hAnsi="Times New Roman" w:cs="Times New Roman"/>
          <w:sz w:val="24"/>
          <w:szCs w:val="24"/>
        </w:rPr>
      </w:pPr>
    </w:p>
    <w:p w14:paraId="0000000F" w14:textId="785BC4E3" w:rsidR="00BA7DAA" w:rsidRPr="00757056" w:rsidRDefault="00CD4C0A" w:rsidP="00757056">
      <w:pPr>
        <w:jc w:val="both"/>
        <w:rPr>
          <w:rFonts w:ascii="Times New Roman" w:hAnsi="Times New Roman" w:cs="Times New Roman"/>
          <w:sz w:val="24"/>
          <w:szCs w:val="24"/>
        </w:rPr>
      </w:pPr>
      <w:r w:rsidRPr="00757056">
        <w:rPr>
          <w:rFonts w:ascii="Times New Roman" w:hAnsi="Times New Roman" w:cs="Times New Roman"/>
          <w:sz w:val="24"/>
          <w:szCs w:val="24"/>
        </w:rPr>
        <w:t xml:space="preserve">Research studies indicate a complicated relationship between democracy and food security in Africa. Advocates argue that democratic governance promotes transparency, accountability, and citizen engagement, positively impacting food security </w:t>
      </w:r>
      <w:r w:rsidR="00F50104" w:rsidRPr="00757056">
        <w:rPr>
          <w:rFonts w:ascii="Times New Roman" w:hAnsi="Times New Roman" w:cs="Times New Roman"/>
          <w:sz w:val="24"/>
          <w:szCs w:val="24"/>
        </w:rPr>
        <w:t xml:space="preserve">as well the transition to renewable energy </w:t>
      </w:r>
      <w:r w:rsidRPr="00757056">
        <w:rPr>
          <w:rFonts w:ascii="Times New Roman" w:hAnsi="Times New Roman" w:cs="Times New Roman"/>
          <w:sz w:val="24"/>
          <w:szCs w:val="24"/>
        </w:rPr>
        <w:t>(</w:t>
      </w:r>
      <w:proofErr w:type="spellStart"/>
      <w:r w:rsidRPr="00757056">
        <w:rPr>
          <w:rFonts w:ascii="Times New Roman" w:hAnsi="Times New Roman" w:cs="Times New Roman"/>
          <w:sz w:val="24"/>
          <w:szCs w:val="24"/>
        </w:rPr>
        <w:t>Fontan</w:t>
      </w:r>
      <w:proofErr w:type="spellEnd"/>
      <w:r w:rsidRPr="00757056">
        <w:rPr>
          <w:rFonts w:ascii="Times New Roman" w:hAnsi="Times New Roman" w:cs="Times New Roman"/>
          <w:sz w:val="24"/>
          <w:szCs w:val="24"/>
        </w:rPr>
        <w:t xml:space="preserve"> </w:t>
      </w:r>
      <w:proofErr w:type="spellStart"/>
      <w:r w:rsidRPr="00757056">
        <w:rPr>
          <w:rFonts w:ascii="Times New Roman" w:hAnsi="Times New Roman" w:cs="Times New Roman"/>
          <w:sz w:val="24"/>
          <w:szCs w:val="24"/>
        </w:rPr>
        <w:t>Sers</w:t>
      </w:r>
      <w:proofErr w:type="spellEnd"/>
      <w:r w:rsidRPr="00757056">
        <w:rPr>
          <w:rFonts w:ascii="Times New Roman" w:hAnsi="Times New Roman" w:cs="Times New Roman"/>
          <w:sz w:val="24"/>
          <w:szCs w:val="24"/>
        </w:rPr>
        <w:t xml:space="preserve"> &amp; Mughal, 2019; </w:t>
      </w:r>
      <w:proofErr w:type="spellStart"/>
      <w:r w:rsidRPr="00757056">
        <w:rPr>
          <w:rFonts w:ascii="Times New Roman" w:hAnsi="Times New Roman" w:cs="Times New Roman"/>
          <w:sz w:val="24"/>
          <w:szCs w:val="24"/>
        </w:rPr>
        <w:t>Khodaverdian</w:t>
      </w:r>
      <w:proofErr w:type="spellEnd"/>
      <w:r w:rsidRPr="00757056">
        <w:rPr>
          <w:rFonts w:ascii="Times New Roman" w:hAnsi="Times New Roman" w:cs="Times New Roman"/>
          <w:sz w:val="24"/>
          <w:szCs w:val="24"/>
        </w:rPr>
        <w:t xml:space="preserve">, 2021). However, </w:t>
      </w:r>
      <w:proofErr w:type="spellStart"/>
      <w:r w:rsidRPr="00757056">
        <w:rPr>
          <w:rFonts w:ascii="Times New Roman" w:hAnsi="Times New Roman" w:cs="Times New Roman"/>
          <w:sz w:val="24"/>
          <w:szCs w:val="24"/>
        </w:rPr>
        <w:t>skeptics</w:t>
      </w:r>
      <w:proofErr w:type="spellEnd"/>
      <w:r w:rsidRPr="00757056">
        <w:rPr>
          <w:rFonts w:ascii="Times New Roman" w:hAnsi="Times New Roman" w:cs="Times New Roman"/>
          <w:sz w:val="24"/>
          <w:szCs w:val="24"/>
        </w:rPr>
        <w:t xml:space="preserve"> suggest that political instability in democracies can disrupt agricultural policies, worsening food insecurity</w:t>
      </w:r>
      <w:r w:rsidR="007044CA" w:rsidRPr="00757056">
        <w:rPr>
          <w:rFonts w:ascii="Times New Roman" w:hAnsi="Times New Roman" w:cs="Times New Roman"/>
          <w:sz w:val="24"/>
          <w:szCs w:val="24"/>
        </w:rPr>
        <w:t xml:space="preserve"> and halting policies on renewable energy</w:t>
      </w:r>
      <w:r w:rsidRPr="00757056">
        <w:rPr>
          <w:rFonts w:ascii="Times New Roman" w:hAnsi="Times New Roman" w:cs="Times New Roman"/>
          <w:sz w:val="24"/>
          <w:szCs w:val="24"/>
        </w:rPr>
        <w:t xml:space="preserve"> (</w:t>
      </w:r>
      <w:proofErr w:type="spellStart"/>
      <w:r w:rsidRPr="00757056">
        <w:rPr>
          <w:rFonts w:ascii="Times New Roman" w:hAnsi="Times New Roman" w:cs="Times New Roman"/>
          <w:sz w:val="24"/>
          <w:szCs w:val="24"/>
        </w:rPr>
        <w:t>Murshed</w:t>
      </w:r>
      <w:proofErr w:type="spellEnd"/>
      <w:r w:rsidRPr="00757056">
        <w:rPr>
          <w:rFonts w:ascii="Times New Roman" w:hAnsi="Times New Roman" w:cs="Times New Roman"/>
          <w:sz w:val="24"/>
          <w:szCs w:val="24"/>
        </w:rPr>
        <w:t xml:space="preserve"> et al., 2018). While democracies like Ghana show positive links between political stability and food production (</w:t>
      </w:r>
      <w:proofErr w:type="spellStart"/>
      <w:r w:rsidRPr="00757056">
        <w:rPr>
          <w:rFonts w:ascii="Times New Roman" w:hAnsi="Times New Roman" w:cs="Times New Roman"/>
          <w:sz w:val="24"/>
          <w:szCs w:val="24"/>
        </w:rPr>
        <w:t>Hemed</w:t>
      </w:r>
      <w:proofErr w:type="spellEnd"/>
      <w:r w:rsidRPr="00757056">
        <w:rPr>
          <w:rFonts w:ascii="Times New Roman" w:hAnsi="Times New Roman" w:cs="Times New Roman"/>
          <w:sz w:val="24"/>
          <w:szCs w:val="24"/>
        </w:rPr>
        <w:t>, 2019), challenges persist in areas with governance issues like corruption and weak institutions</w:t>
      </w:r>
      <w:r w:rsidR="00C40801" w:rsidRPr="00757056">
        <w:rPr>
          <w:rFonts w:ascii="Times New Roman" w:hAnsi="Times New Roman" w:cs="Times New Roman"/>
          <w:sz w:val="24"/>
          <w:szCs w:val="24"/>
        </w:rPr>
        <w:t xml:space="preserve"> that hinder the implement of the transition of renewable energy</w:t>
      </w:r>
      <w:r w:rsidRPr="00757056">
        <w:rPr>
          <w:rFonts w:ascii="Times New Roman" w:hAnsi="Times New Roman" w:cs="Times New Roman"/>
          <w:sz w:val="24"/>
          <w:szCs w:val="24"/>
        </w:rPr>
        <w:t xml:space="preserve"> (</w:t>
      </w:r>
      <w:proofErr w:type="spellStart"/>
      <w:r w:rsidRPr="00757056">
        <w:rPr>
          <w:rFonts w:ascii="Times New Roman" w:hAnsi="Times New Roman" w:cs="Times New Roman"/>
          <w:sz w:val="24"/>
          <w:szCs w:val="24"/>
        </w:rPr>
        <w:t>Ogunniyi</w:t>
      </w:r>
      <w:proofErr w:type="spellEnd"/>
      <w:r w:rsidRPr="00757056">
        <w:rPr>
          <w:rFonts w:ascii="Times New Roman" w:hAnsi="Times New Roman" w:cs="Times New Roman"/>
          <w:sz w:val="24"/>
          <w:szCs w:val="24"/>
        </w:rPr>
        <w:t xml:space="preserve"> et al., 2020). The effectiveness of democracy in ensuring food security depends on strong governance mechanisms, economic stability, and social inclusivity (</w:t>
      </w:r>
      <w:proofErr w:type="spellStart"/>
      <w:r w:rsidRPr="00757056">
        <w:rPr>
          <w:rFonts w:ascii="Times New Roman" w:hAnsi="Times New Roman" w:cs="Times New Roman"/>
          <w:sz w:val="24"/>
          <w:szCs w:val="24"/>
        </w:rPr>
        <w:t>Adelle</w:t>
      </w:r>
      <w:proofErr w:type="spellEnd"/>
      <w:r w:rsidRPr="00757056">
        <w:rPr>
          <w:rFonts w:ascii="Times New Roman" w:hAnsi="Times New Roman" w:cs="Times New Roman"/>
          <w:sz w:val="24"/>
          <w:szCs w:val="24"/>
        </w:rPr>
        <w:t xml:space="preserve"> et al., 2021).</w:t>
      </w:r>
    </w:p>
    <w:p w14:paraId="00000010" w14:textId="77777777" w:rsidR="00BA7DAA" w:rsidRPr="00757056" w:rsidRDefault="00BA7DAA" w:rsidP="00757056">
      <w:pPr>
        <w:jc w:val="both"/>
        <w:rPr>
          <w:rFonts w:ascii="Times New Roman" w:hAnsi="Times New Roman" w:cs="Times New Roman"/>
          <w:sz w:val="24"/>
          <w:szCs w:val="24"/>
        </w:rPr>
      </w:pPr>
    </w:p>
    <w:p w14:paraId="00000011" w14:textId="5280D745" w:rsidR="00BA7DAA" w:rsidRPr="00757056" w:rsidRDefault="00CD4C0A" w:rsidP="00757056">
      <w:pPr>
        <w:jc w:val="both"/>
        <w:rPr>
          <w:rFonts w:ascii="Times New Roman" w:hAnsi="Times New Roman" w:cs="Times New Roman"/>
          <w:sz w:val="24"/>
          <w:szCs w:val="24"/>
        </w:rPr>
      </w:pPr>
      <w:r w:rsidRPr="00757056">
        <w:rPr>
          <w:rFonts w:ascii="Times New Roman" w:hAnsi="Times New Roman" w:cs="Times New Roman"/>
          <w:sz w:val="24"/>
          <w:szCs w:val="24"/>
        </w:rPr>
        <w:t xml:space="preserve">Empirical evidence highlights the importance of government involvement in achieving food security </w:t>
      </w:r>
      <w:r w:rsidR="009C70A1" w:rsidRPr="00757056">
        <w:rPr>
          <w:rFonts w:ascii="Times New Roman" w:hAnsi="Times New Roman" w:cs="Times New Roman"/>
          <w:sz w:val="24"/>
          <w:szCs w:val="24"/>
        </w:rPr>
        <w:t xml:space="preserve">and transition to renewable energy </w:t>
      </w:r>
      <w:r w:rsidRPr="00757056">
        <w:rPr>
          <w:rFonts w:ascii="Times New Roman" w:hAnsi="Times New Roman" w:cs="Times New Roman"/>
          <w:sz w:val="24"/>
          <w:szCs w:val="24"/>
        </w:rPr>
        <w:t>(</w:t>
      </w:r>
      <w:proofErr w:type="spellStart"/>
      <w:r w:rsidRPr="00757056">
        <w:rPr>
          <w:rFonts w:ascii="Times New Roman" w:hAnsi="Times New Roman" w:cs="Times New Roman"/>
          <w:sz w:val="24"/>
          <w:szCs w:val="24"/>
        </w:rPr>
        <w:t>Fontan</w:t>
      </w:r>
      <w:proofErr w:type="spellEnd"/>
      <w:r w:rsidRPr="00757056">
        <w:rPr>
          <w:rFonts w:ascii="Times New Roman" w:hAnsi="Times New Roman" w:cs="Times New Roman"/>
          <w:sz w:val="24"/>
          <w:szCs w:val="24"/>
        </w:rPr>
        <w:t xml:space="preserve"> </w:t>
      </w:r>
      <w:proofErr w:type="spellStart"/>
      <w:r w:rsidRPr="00757056">
        <w:rPr>
          <w:rFonts w:ascii="Times New Roman" w:hAnsi="Times New Roman" w:cs="Times New Roman"/>
          <w:sz w:val="24"/>
          <w:szCs w:val="24"/>
        </w:rPr>
        <w:t>Sers</w:t>
      </w:r>
      <w:proofErr w:type="spellEnd"/>
      <w:r w:rsidRPr="00757056">
        <w:rPr>
          <w:rFonts w:ascii="Times New Roman" w:hAnsi="Times New Roman" w:cs="Times New Roman"/>
          <w:sz w:val="24"/>
          <w:szCs w:val="24"/>
        </w:rPr>
        <w:t xml:space="preserve"> &amp; Mughal, 2019). Countries with effective agricultural policies and governance, such as China and Brazil, have witnessed significant improvements in food production and </w:t>
      </w:r>
      <w:r w:rsidR="009C70A1" w:rsidRPr="00757056">
        <w:rPr>
          <w:rFonts w:ascii="Times New Roman" w:hAnsi="Times New Roman" w:cs="Times New Roman"/>
          <w:sz w:val="24"/>
          <w:szCs w:val="24"/>
        </w:rPr>
        <w:t xml:space="preserve">renewable energy generation </w:t>
      </w:r>
      <w:r w:rsidRPr="00757056">
        <w:rPr>
          <w:rFonts w:ascii="Times New Roman" w:hAnsi="Times New Roman" w:cs="Times New Roman"/>
          <w:sz w:val="24"/>
          <w:szCs w:val="24"/>
        </w:rPr>
        <w:t>(</w:t>
      </w:r>
      <w:proofErr w:type="spellStart"/>
      <w:r w:rsidRPr="00757056">
        <w:rPr>
          <w:rFonts w:ascii="Times New Roman" w:hAnsi="Times New Roman" w:cs="Times New Roman"/>
          <w:sz w:val="24"/>
          <w:szCs w:val="24"/>
        </w:rPr>
        <w:t>Giller</w:t>
      </w:r>
      <w:proofErr w:type="spellEnd"/>
      <w:r w:rsidRPr="00757056">
        <w:rPr>
          <w:rFonts w:ascii="Times New Roman" w:hAnsi="Times New Roman" w:cs="Times New Roman"/>
          <w:sz w:val="24"/>
          <w:szCs w:val="24"/>
        </w:rPr>
        <w:t xml:space="preserve">, 2020). </w:t>
      </w:r>
      <w:r w:rsidR="009C70A1" w:rsidRPr="00757056">
        <w:rPr>
          <w:rFonts w:ascii="Times New Roman" w:hAnsi="Times New Roman" w:cs="Times New Roman"/>
          <w:sz w:val="24"/>
          <w:szCs w:val="24"/>
        </w:rPr>
        <w:t xml:space="preserve">Robust </w:t>
      </w:r>
      <w:r w:rsidRPr="00757056">
        <w:rPr>
          <w:rFonts w:ascii="Times New Roman" w:hAnsi="Times New Roman" w:cs="Times New Roman"/>
          <w:sz w:val="24"/>
          <w:szCs w:val="24"/>
        </w:rPr>
        <w:t xml:space="preserve">government intervention is crucial for </w:t>
      </w:r>
      <w:r w:rsidR="009C70A1" w:rsidRPr="00757056">
        <w:rPr>
          <w:rFonts w:ascii="Times New Roman" w:hAnsi="Times New Roman" w:cs="Times New Roman"/>
          <w:sz w:val="24"/>
          <w:szCs w:val="24"/>
        </w:rPr>
        <w:t>smooth transition to renewable energy</w:t>
      </w:r>
      <w:r w:rsidRPr="00757056">
        <w:rPr>
          <w:rFonts w:ascii="Times New Roman" w:hAnsi="Times New Roman" w:cs="Times New Roman"/>
          <w:sz w:val="24"/>
          <w:szCs w:val="24"/>
        </w:rPr>
        <w:t>, enabling effective policies, infrastructure development, and crisis management</w:t>
      </w:r>
      <w:r w:rsidR="009C70A1" w:rsidRPr="00757056">
        <w:rPr>
          <w:rFonts w:ascii="Times New Roman" w:hAnsi="Times New Roman" w:cs="Times New Roman"/>
          <w:sz w:val="24"/>
          <w:szCs w:val="24"/>
        </w:rPr>
        <w:t xml:space="preserve"> that ensures food security</w:t>
      </w:r>
      <w:r w:rsidRPr="00757056">
        <w:rPr>
          <w:rFonts w:ascii="Times New Roman" w:hAnsi="Times New Roman" w:cs="Times New Roman"/>
          <w:sz w:val="24"/>
          <w:szCs w:val="24"/>
        </w:rPr>
        <w:t xml:space="preserve"> (</w:t>
      </w:r>
      <w:proofErr w:type="spellStart"/>
      <w:r w:rsidRPr="00757056">
        <w:rPr>
          <w:rFonts w:ascii="Times New Roman" w:hAnsi="Times New Roman" w:cs="Times New Roman"/>
          <w:sz w:val="24"/>
          <w:szCs w:val="24"/>
        </w:rPr>
        <w:t>Fontan</w:t>
      </w:r>
      <w:proofErr w:type="spellEnd"/>
      <w:r w:rsidRPr="00757056">
        <w:rPr>
          <w:rFonts w:ascii="Times New Roman" w:hAnsi="Times New Roman" w:cs="Times New Roman"/>
          <w:sz w:val="24"/>
          <w:szCs w:val="24"/>
        </w:rPr>
        <w:t xml:space="preserve"> </w:t>
      </w:r>
      <w:proofErr w:type="spellStart"/>
      <w:r w:rsidRPr="00757056">
        <w:rPr>
          <w:rFonts w:ascii="Times New Roman" w:hAnsi="Times New Roman" w:cs="Times New Roman"/>
          <w:sz w:val="24"/>
          <w:szCs w:val="24"/>
        </w:rPr>
        <w:t>Sers</w:t>
      </w:r>
      <w:proofErr w:type="spellEnd"/>
      <w:r w:rsidRPr="00757056">
        <w:rPr>
          <w:rFonts w:ascii="Times New Roman" w:hAnsi="Times New Roman" w:cs="Times New Roman"/>
          <w:sz w:val="24"/>
          <w:szCs w:val="24"/>
        </w:rPr>
        <w:t xml:space="preserve"> &amp; Mughal, 2019). Conversely, critics argue that excessive government control may result in inefficiencies, corruption, and mismanagement, impeding</w:t>
      </w:r>
      <w:r w:rsidR="009C70A1" w:rsidRPr="00757056">
        <w:rPr>
          <w:rFonts w:ascii="Times New Roman" w:hAnsi="Times New Roman" w:cs="Times New Roman"/>
          <w:sz w:val="24"/>
          <w:szCs w:val="24"/>
        </w:rPr>
        <w:t xml:space="preserve"> the medium to large scale transition to renewable energy that will ensure</w:t>
      </w:r>
      <w:r w:rsidRPr="00757056">
        <w:rPr>
          <w:rFonts w:ascii="Times New Roman" w:hAnsi="Times New Roman" w:cs="Times New Roman"/>
          <w:sz w:val="24"/>
          <w:szCs w:val="24"/>
        </w:rPr>
        <w:t xml:space="preserve"> food production and distribution (</w:t>
      </w:r>
      <w:proofErr w:type="spellStart"/>
      <w:r w:rsidRPr="00757056">
        <w:rPr>
          <w:rFonts w:ascii="Times New Roman" w:hAnsi="Times New Roman" w:cs="Times New Roman"/>
          <w:sz w:val="24"/>
          <w:szCs w:val="24"/>
        </w:rPr>
        <w:t>Hemed</w:t>
      </w:r>
      <w:proofErr w:type="spellEnd"/>
      <w:r w:rsidRPr="00757056">
        <w:rPr>
          <w:rFonts w:ascii="Times New Roman" w:hAnsi="Times New Roman" w:cs="Times New Roman"/>
          <w:sz w:val="24"/>
          <w:szCs w:val="24"/>
        </w:rPr>
        <w:t>, 2019). Challenges arise when governance is plagued by corruption or lacks a comprehensive approach (</w:t>
      </w:r>
      <w:proofErr w:type="spellStart"/>
      <w:r w:rsidRPr="00757056">
        <w:rPr>
          <w:rFonts w:ascii="Times New Roman" w:hAnsi="Times New Roman" w:cs="Times New Roman"/>
          <w:sz w:val="24"/>
          <w:szCs w:val="24"/>
        </w:rPr>
        <w:t>Ogunniyi</w:t>
      </w:r>
      <w:proofErr w:type="spellEnd"/>
      <w:r w:rsidRPr="00757056">
        <w:rPr>
          <w:rFonts w:ascii="Times New Roman" w:hAnsi="Times New Roman" w:cs="Times New Roman"/>
          <w:sz w:val="24"/>
          <w:szCs w:val="24"/>
        </w:rPr>
        <w:t xml:space="preserve"> et al., 2020). Effective government intervention, guided by data-driven policies and international cooperation, is essential for addressing the diverse dimensions of food security on a global scale.</w:t>
      </w:r>
    </w:p>
    <w:p w14:paraId="00000014" w14:textId="77777777" w:rsidR="00BA7DAA" w:rsidRPr="00757056" w:rsidRDefault="00BA7DAA" w:rsidP="00757056">
      <w:pPr>
        <w:jc w:val="both"/>
        <w:rPr>
          <w:rFonts w:ascii="Times New Roman" w:hAnsi="Times New Roman" w:cs="Times New Roman"/>
          <w:sz w:val="18"/>
          <w:szCs w:val="24"/>
        </w:rPr>
      </w:pPr>
    </w:p>
    <w:p w14:paraId="00000015" w14:textId="2C44FCD9" w:rsidR="00BA7DAA" w:rsidRPr="00757056" w:rsidRDefault="00CD4C0A" w:rsidP="00757056">
      <w:pPr>
        <w:jc w:val="both"/>
        <w:rPr>
          <w:rFonts w:ascii="Times New Roman" w:hAnsi="Times New Roman" w:cs="Times New Roman"/>
          <w:sz w:val="24"/>
          <w:szCs w:val="24"/>
        </w:rPr>
      </w:pPr>
      <w:r w:rsidRPr="00757056">
        <w:rPr>
          <w:rFonts w:ascii="Times New Roman" w:hAnsi="Times New Roman" w:cs="Times New Roman"/>
          <w:sz w:val="24"/>
          <w:szCs w:val="24"/>
        </w:rPr>
        <w:t>The correlation among food security, renewable energy, democratic governance structures, and government expenditure constitutes a pivotal area of investigation with significant implications for informing policymakers on cohesive approaches to foster sustainability, societal well-being, and democratic principles (</w:t>
      </w:r>
      <w:proofErr w:type="spellStart"/>
      <w:r w:rsidRPr="00757056">
        <w:rPr>
          <w:rFonts w:ascii="Times New Roman" w:hAnsi="Times New Roman" w:cs="Times New Roman"/>
          <w:sz w:val="24"/>
          <w:szCs w:val="24"/>
        </w:rPr>
        <w:t>Ogunniyi</w:t>
      </w:r>
      <w:proofErr w:type="spellEnd"/>
      <w:r w:rsidRPr="00757056">
        <w:rPr>
          <w:rFonts w:ascii="Times New Roman" w:hAnsi="Times New Roman" w:cs="Times New Roman"/>
          <w:sz w:val="24"/>
          <w:szCs w:val="24"/>
        </w:rPr>
        <w:t xml:space="preserve"> et al., 2020; </w:t>
      </w:r>
      <w:proofErr w:type="spellStart"/>
      <w:r w:rsidRPr="00757056">
        <w:rPr>
          <w:rFonts w:ascii="Times New Roman" w:hAnsi="Times New Roman" w:cs="Times New Roman"/>
          <w:sz w:val="24"/>
          <w:szCs w:val="24"/>
        </w:rPr>
        <w:t>Hemed</w:t>
      </w:r>
      <w:proofErr w:type="spellEnd"/>
      <w:r w:rsidRPr="00757056">
        <w:rPr>
          <w:rFonts w:ascii="Times New Roman" w:hAnsi="Times New Roman" w:cs="Times New Roman"/>
          <w:sz w:val="24"/>
          <w:szCs w:val="24"/>
        </w:rPr>
        <w:t xml:space="preserve">, 2019; </w:t>
      </w:r>
      <w:proofErr w:type="spellStart"/>
      <w:r w:rsidRPr="00757056">
        <w:rPr>
          <w:rFonts w:ascii="Times New Roman" w:hAnsi="Times New Roman" w:cs="Times New Roman"/>
          <w:sz w:val="24"/>
          <w:szCs w:val="24"/>
        </w:rPr>
        <w:t>Giller</w:t>
      </w:r>
      <w:proofErr w:type="spellEnd"/>
      <w:r w:rsidRPr="00757056">
        <w:rPr>
          <w:rFonts w:ascii="Times New Roman" w:hAnsi="Times New Roman" w:cs="Times New Roman"/>
          <w:sz w:val="24"/>
          <w:szCs w:val="24"/>
        </w:rPr>
        <w:t xml:space="preserve">, 2020; </w:t>
      </w:r>
      <w:proofErr w:type="spellStart"/>
      <w:r w:rsidRPr="00757056">
        <w:rPr>
          <w:rFonts w:ascii="Times New Roman" w:hAnsi="Times New Roman" w:cs="Times New Roman"/>
          <w:sz w:val="24"/>
          <w:szCs w:val="24"/>
        </w:rPr>
        <w:t>Bonuedi</w:t>
      </w:r>
      <w:proofErr w:type="spellEnd"/>
      <w:r w:rsidRPr="00757056">
        <w:rPr>
          <w:rFonts w:ascii="Times New Roman" w:hAnsi="Times New Roman" w:cs="Times New Roman"/>
          <w:sz w:val="24"/>
          <w:szCs w:val="24"/>
        </w:rPr>
        <w:t xml:space="preserve"> et al., 2020; </w:t>
      </w:r>
      <w:proofErr w:type="spellStart"/>
      <w:r w:rsidRPr="00757056">
        <w:rPr>
          <w:rFonts w:ascii="Times New Roman" w:hAnsi="Times New Roman" w:cs="Times New Roman"/>
          <w:sz w:val="24"/>
          <w:szCs w:val="24"/>
        </w:rPr>
        <w:t>Fontan</w:t>
      </w:r>
      <w:proofErr w:type="spellEnd"/>
      <w:r w:rsidRPr="00757056">
        <w:rPr>
          <w:rFonts w:ascii="Times New Roman" w:hAnsi="Times New Roman" w:cs="Times New Roman"/>
          <w:sz w:val="24"/>
          <w:szCs w:val="24"/>
        </w:rPr>
        <w:t xml:space="preserve"> </w:t>
      </w:r>
      <w:proofErr w:type="spellStart"/>
      <w:r w:rsidRPr="00757056">
        <w:rPr>
          <w:rFonts w:ascii="Times New Roman" w:hAnsi="Times New Roman" w:cs="Times New Roman"/>
          <w:sz w:val="24"/>
          <w:szCs w:val="24"/>
        </w:rPr>
        <w:t>Sers</w:t>
      </w:r>
      <w:proofErr w:type="spellEnd"/>
      <w:r w:rsidRPr="00757056">
        <w:rPr>
          <w:rFonts w:ascii="Times New Roman" w:hAnsi="Times New Roman" w:cs="Times New Roman"/>
          <w:sz w:val="24"/>
          <w:szCs w:val="24"/>
        </w:rPr>
        <w:t xml:space="preserve"> &amp; Mughal, 2019). </w:t>
      </w:r>
      <w:r w:rsidR="007A697E" w:rsidRPr="00757056">
        <w:rPr>
          <w:rFonts w:ascii="Times New Roman" w:hAnsi="Times New Roman" w:cs="Times New Roman"/>
          <w:sz w:val="24"/>
          <w:szCs w:val="24"/>
        </w:rPr>
        <w:t xml:space="preserve">A harmonized </w:t>
      </w:r>
      <w:r w:rsidRPr="00757056">
        <w:rPr>
          <w:rFonts w:ascii="Times New Roman" w:hAnsi="Times New Roman" w:cs="Times New Roman"/>
          <w:sz w:val="24"/>
          <w:szCs w:val="24"/>
        </w:rPr>
        <w:t>strategy involving renewable energy, democracy, and government expenditure is indispensable for tackling food security issues in Africa (</w:t>
      </w:r>
      <w:proofErr w:type="spellStart"/>
      <w:r w:rsidRPr="00757056">
        <w:rPr>
          <w:rFonts w:ascii="Times New Roman" w:hAnsi="Times New Roman" w:cs="Times New Roman"/>
          <w:sz w:val="24"/>
          <w:szCs w:val="24"/>
        </w:rPr>
        <w:t>Giller</w:t>
      </w:r>
      <w:proofErr w:type="spellEnd"/>
      <w:r w:rsidRPr="00757056">
        <w:rPr>
          <w:rFonts w:ascii="Times New Roman" w:hAnsi="Times New Roman" w:cs="Times New Roman"/>
          <w:sz w:val="24"/>
          <w:szCs w:val="24"/>
        </w:rPr>
        <w:t xml:space="preserve">, 2020). Nonetheless, </w:t>
      </w:r>
      <w:proofErr w:type="spellStart"/>
      <w:r w:rsidRPr="00757056">
        <w:rPr>
          <w:rFonts w:ascii="Times New Roman" w:hAnsi="Times New Roman" w:cs="Times New Roman"/>
          <w:sz w:val="24"/>
          <w:szCs w:val="24"/>
        </w:rPr>
        <w:t>skeptics</w:t>
      </w:r>
      <w:proofErr w:type="spellEnd"/>
      <w:r w:rsidRPr="00757056">
        <w:rPr>
          <w:rFonts w:ascii="Times New Roman" w:hAnsi="Times New Roman" w:cs="Times New Roman"/>
          <w:sz w:val="24"/>
          <w:szCs w:val="24"/>
        </w:rPr>
        <w:t xml:space="preserve"> express apprehensions regarding potential clashes in resource allocation between renewable energy ventures and immediate food security necessities, underscoring the </w:t>
      </w:r>
      <w:r w:rsidR="00984F82" w:rsidRPr="00757056">
        <w:rPr>
          <w:rFonts w:ascii="Times New Roman" w:hAnsi="Times New Roman" w:cs="Times New Roman"/>
          <w:sz w:val="24"/>
          <w:szCs w:val="24"/>
        </w:rPr>
        <w:t>subtle and critical</w:t>
      </w:r>
      <w:r w:rsidRPr="00757056">
        <w:rPr>
          <w:rFonts w:ascii="Times New Roman" w:hAnsi="Times New Roman" w:cs="Times New Roman"/>
          <w:sz w:val="24"/>
          <w:szCs w:val="24"/>
        </w:rPr>
        <w:t xml:space="preserve"> equilibrium essential in policymaking (</w:t>
      </w:r>
      <w:proofErr w:type="spellStart"/>
      <w:r w:rsidRPr="00757056">
        <w:rPr>
          <w:rFonts w:ascii="Times New Roman" w:hAnsi="Times New Roman" w:cs="Times New Roman"/>
          <w:sz w:val="24"/>
          <w:szCs w:val="24"/>
        </w:rPr>
        <w:t>Bonuedi</w:t>
      </w:r>
      <w:proofErr w:type="spellEnd"/>
      <w:r w:rsidRPr="00757056">
        <w:rPr>
          <w:rFonts w:ascii="Times New Roman" w:hAnsi="Times New Roman" w:cs="Times New Roman"/>
          <w:sz w:val="24"/>
          <w:szCs w:val="24"/>
        </w:rPr>
        <w:t xml:space="preserve"> et al., 2020). Renewable energy holds the potential to augment agricultural output, while effective governance is imperative for judicious resource distribution (</w:t>
      </w:r>
      <w:proofErr w:type="spellStart"/>
      <w:r w:rsidRPr="00757056">
        <w:rPr>
          <w:rFonts w:ascii="Times New Roman" w:hAnsi="Times New Roman" w:cs="Times New Roman"/>
          <w:sz w:val="24"/>
          <w:szCs w:val="24"/>
        </w:rPr>
        <w:t>Giller</w:t>
      </w:r>
      <w:proofErr w:type="spellEnd"/>
      <w:r w:rsidRPr="00757056">
        <w:rPr>
          <w:rFonts w:ascii="Times New Roman" w:hAnsi="Times New Roman" w:cs="Times New Roman"/>
          <w:sz w:val="24"/>
          <w:szCs w:val="24"/>
        </w:rPr>
        <w:t>, 2020). Achieving equilibrium necessitates evidence-driven policies, as evidenced by the case of Rwanda, where investments in renewable energy align with sustainable agricultural practices, yielding positive outcomes for food security (</w:t>
      </w:r>
      <w:proofErr w:type="spellStart"/>
      <w:r w:rsidRPr="00757056">
        <w:rPr>
          <w:rFonts w:ascii="Times New Roman" w:hAnsi="Times New Roman" w:cs="Times New Roman"/>
          <w:sz w:val="24"/>
          <w:szCs w:val="24"/>
        </w:rPr>
        <w:t>Giller</w:t>
      </w:r>
      <w:proofErr w:type="spellEnd"/>
      <w:r w:rsidRPr="00757056">
        <w:rPr>
          <w:rFonts w:ascii="Times New Roman" w:hAnsi="Times New Roman" w:cs="Times New Roman"/>
          <w:sz w:val="24"/>
          <w:szCs w:val="24"/>
        </w:rPr>
        <w:t>, 2020).</w:t>
      </w:r>
    </w:p>
    <w:p w14:paraId="00000016" w14:textId="77777777" w:rsidR="00BA7DAA" w:rsidRPr="00757056" w:rsidRDefault="00BA7DAA" w:rsidP="00757056">
      <w:pPr>
        <w:jc w:val="both"/>
        <w:rPr>
          <w:rFonts w:ascii="Times New Roman" w:hAnsi="Times New Roman" w:cs="Times New Roman"/>
          <w:sz w:val="16"/>
          <w:szCs w:val="24"/>
        </w:rPr>
      </w:pPr>
    </w:p>
    <w:p w14:paraId="00000017" w14:textId="56C4FB64" w:rsidR="00BA7DAA" w:rsidRPr="00757056" w:rsidRDefault="00CD4C0A" w:rsidP="00757056">
      <w:pPr>
        <w:jc w:val="both"/>
        <w:rPr>
          <w:rFonts w:ascii="Times New Roman" w:hAnsi="Times New Roman" w:cs="Times New Roman"/>
          <w:sz w:val="24"/>
          <w:szCs w:val="24"/>
        </w:rPr>
      </w:pPr>
      <w:r w:rsidRPr="00757056">
        <w:rPr>
          <w:rFonts w:ascii="Times New Roman" w:hAnsi="Times New Roman" w:cs="Times New Roman"/>
          <w:sz w:val="24"/>
          <w:szCs w:val="24"/>
        </w:rPr>
        <w:t>Prior studies have delved into the nexus between food security and the adoption of renewable energy (</w:t>
      </w:r>
      <w:proofErr w:type="spellStart"/>
      <w:r w:rsidRPr="00757056">
        <w:rPr>
          <w:rFonts w:ascii="Times New Roman" w:hAnsi="Times New Roman" w:cs="Times New Roman"/>
          <w:sz w:val="24"/>
          <w:szCs w:val="24"/>
        </w:rPr>
        <w:t>Giller</w:t>
      </w:r>
      <w:proofErr w:type="spellEnd"/>
      <w:r w:rsidRPr="00757056">
        <w:rPr>
          <w:rFonts w:ascii="Times New Roman" w:hAnsi="Times New Roman" w:cs="Times New Roman"/>
          <w:sz w:val="24"/>
          <w:szCs w:val="24"/>
        </w:rPr>
        <w:t xml:space="preserve">, 2020; </w:t>
      </w:r>
      <w:proofErr w:type="spellStart"/>
      <w:r w:rsidRPr="00757056">
        <w:rPr>
          <w:rFonts w:ascii="Times New Roman" w:hAnsi="Times New Roman" w:cs="Times New Roman"/>
          <w:sz w:val="24"/>
          <w:szCs w:val="24"/>
        </w:rPr>
        <w:t>Bonuedi</w:t>
      </w:r>
      <w:proofErr w:type="spellEnd"/>
      <w:r w:rsidRPr="00757056">
        <w:rPr>
          <w:rFonts w:ascii="Times New Roman" w:hAnsi="Times New Roman" w:cs="Times New Roman"/>
          <w:sz w:val="24"/>
          <w:szCs w:val="24"/>
        </w:rPr>
        <w:t xml:space="preserve"> et al., 2020; Ahmed et al., 2021), as well as the influence of democratic decision-making processes on sustainable agricultural methods (</w:t>
      </w:r>
      <w:proofErr w:type="spellStart"/>
      <w:r w:rsidRPr="00757056">
        <w:rPr>
          <w:rFonts w:ascii="Times New Roman" w:hAnsi="Times New Roman" w:cs="Times New Roman"/>
          <w:sz w:val="24"/>
          <w:szCs w:val="24"/>
        </w:rPr>
        <w:t>Hemed</w:t>
      </w:r>
      <w:proofErr w:type="spellEnd"/>
      <w:r w:rsidRPr="00757056">
        <w:rPr>
          <w:rFonts w:ascii="Times New Roman" w:hAnsi="Times New Roman" w:cs="Times New Roman"/>
          <w:sz w:val="24"/>
          <w:szCs w:val="24"/>
        </w:rPr>
        <w:t xml:space="preserve">, 2019; </w:t>
      </w:r>
      <w:proofErr w:type="spellStart"/>
      <w:r w:rsidRPr="00757056">
        <w:rPr>
          <w:rFonts w:ascii="Times New Roman" w:hAnsi="Times New Roman" w:cs="Times New Roman"/>
          <w:sz w:val="24"/>
          <w:szCs w:val="24"/>
        </w:rPr>
        <w:t>Fosu</w:t>
      </w:r>
      <w:proofErr w:type="spellEnd"/>
      <w:r w:rsidRPr="00757056">
        <w:rPr>
          <w:rFonts w:ascii="Times New Roman" w:hAnsi="Times New Roman" w:cs="Times New Roman"/>
          <w:sz w:val="24"/>
          <w:szCs w:val="24"/>
        </w:rPr>
        <w:t>, 2018). Nevertheless, there remains a paucity of research exploring the feedback mechanisms between food security and the adoption of renewable energy, along with the</w:t>
      </w:r>
      <w:r w:rsidR="00984F82" w:rsidRPr="00757056">
        <w:rPr>
          <w:rFonts w:ascii="Times New Roman" w:hAnsi="Times New Roman" w:cs="Times New Roman"/>
          <w:sz w:val="24"/>
          <w:szCs w:val="24"/>
        </w:rPr>
        <w:t xml:space="preserve"> issues of governance and corruption</w:t>
      </w:r>
      <w:r w:rsidRPr="00757056">
        <w:rPr>
          <w:rFonts w:ascii="Times New Roman" w:hAnsi="Times New Roman" w:cs="Times New Roman"/>
          <w:sz w:val="24"/>
          <w:szCs w:val="24"/>
        </w:rPr>
        <w:t xml:space="preserve"> that may bolster renewable energy </w:t>
      </w:r>
      <w:proofErr w:type="spellStart"/>
      <w:r w:rsidRPr="00757056">
        <w:rPr>
          <w:rFonts w:ascii="Times New Roman" w:hAnsi="Times New Roman" w:cs="Times New Roman"/>
          <w:sz w:val="24"/>
          <w:szCs w:val="24"/>
        </w:rPr>
        <w:t>endeavors</w:t>
      </w:r>
      <w:proofErr w:type="spellEnd"/>
      <w:r w:rsidRPr="00757056">
        <w:rPr>
          <w:rFonts w:ascii="Times New Roman" w:hAnsi="Times New Roman" w:cs="Times New Roman"/>
          <w:sz w:val="24"/>
          <w:szCs w:val="24"/>
        </w:rPr>
        <w:t xml:space="preserve"> and food production directly or indirectly. This study </w:t>
      </w:r>
      <w:proofErr w:type="spellStart"/>
      <w:r w:rsidRPr="00757056">
        <w:rPr>
          <w:rFonts w:ascii="Times New Roman" w:hAnsi="Times New Roman" w:cs="Times New Roman"/>
          <w:sz w:val="24"/>
          <w:szCs w:val="24"/>
        </w:rPr>
        <w:t>endeavors</w:t>
      </w:r>
      <w:proofErr w:type="spellEnd"/>
      <w:r w:rsidRPr="00757056">
        <w:rPr>
          <w:rFonts w:ascii="Times New Roman" w:hAnsi="Times New Roman" w:cs="Times New Roman"/>
          <w:sz w:val="24"/>
          <w:szCs w:val="24"/>
        </w:rPr>
        <w:t xml:space="preserve"> to bridge these knowledge gaps by conducting a comprehensive analysis of the </w:t>
      </w:r>
      <w:r w:rsidR="00984F82" w:rsidRPr="00757056">
        <w:rPr>
          <w:rFonts w:ascii="Times New Roman" w:hAnsi="Times New Roman" w:cs="Times New Roman"/>
          <w:sz w:val="24"/>
          <w:szCs w:val="24"/>
        </w:rPr>
        <w:t xml:space="preserve">relationship </w:t>
      </w:r>
      <w:r w:rsidRPr="00757056">
        <w:rPr>
          <w:rFonts w:ascii="Times New Roman" w:hAnsi="Times New Roman" w:cs="Times New Roman"/>
          <w:sz w:val="24"/>
          <w:szCs w:val="24"/>
        </w:rPr>
        <w:t>among food security, the transition to renewable energy sources, democratic governance structures, and government expenditure. Through theoretical and empirical inquiry, this study seeks to elucidate the connections between these variables and furnish insights that guide policymakers in devising integrated strategies to advance sustainability, societal well-being, and democratic values. Specifically the study will</w:t>
      </w:r>
    </w:p>
    <w:p w14:paraId="00000018" w14:textId="77777777" w:rsidR="00BA7DAA" w:rsidRPr="00757056" w:rsidRDefault="00CD4C0A" w:rsidP="00757056">
      <w:pPr>
        <w:pStyle w:val="ListParagraph"/>
        <w:numPr>
          <w:ilvl w:val="0"/>
          <w:numId w:val="10"/>
        </w:numPr>
        <w:jc w:val="both"/>
        <w:rPr>
          <w:rFonts w:ascii="Times New Roman" w:hAnsi="Times New Roman" w:cs="Times New Roman"/>
          <w:sz w:val="24"/>
          <w:szCs w:val="24"/>
        </w:rPr>
      </w:pPr>
      <w:r w:rsidRPr="00757056">
        <w:rPr>
          <w:rFonts w:ascii="Times New Roman" w:hAnsi="Times New Roman" w:cs="Times New Roman"/>
          <w:sz w:val="24"/>
          <w:szCs w:val="24"/>
        </w:rPr>
        <w:t>Evaluate the correlation between renewable energy integration and increased food security in Africa;</w:t>
      </w:r>
    </w:p>
    <w:p w14:paraId="00000019" w14:textId="77777777" w:rsidR="00BA7DAA" w:rsidRPr="00757056" w:rsidRDefault="00CD4C0A" w:rsidP="00757056">
      <w:pPr>
        <w:pStyle w:val="ListParagraph"/>
        <w:numPr>
          <w:ilvl w:val="0"/>
          <w:numId w:val="10"/>
        </w:numPr>
        <w:jc w:val="both"/>
        <w:rPr>
          <w:rFonts w:ascii="Times New Roman" w:hAnsi="Times New Roman" w:cs="Times New Roman"/>
          <w:sz w:val="24"/>
          <w:szCs w:val="24"/>
        </w:rPr>
      </w:pPr>
      <w:r w:rsidRPr="00757056">
        <w:rPr>
          <w:rFonts w:ascii="Times New Roman" w:hAnsi="Times New Roman" w:cs="Times New Roman"/>
          <w:sz w:val="24"/>
          <w:szCs w:val="24"/>
        </w:rPr>
        <w:t>investigate the connection between democratic governance and its impact on food security and;</w:t>
      </w:r>
    </w:p>
    <w:p w14:paraId="0000001A" w14:textId="77777777" w:rsidR="00BA7DAA" w:rsidRPr="00757056" w:rsidRDefault="00CD4C0A" w:rsidP="00757056">
      <w:pPr>
        <w:pStyle w:val="ListParagraph"/>
        <w:numPr>
          <w:ilvl w:val="0"/>
          <w:numId w:val="10"/>
        </w:numPr>
        <w:jc w:val="both"/>
        <w:rPr>
          <w:rFonts w:ascii="Times New Roman" w:hAnsi="Times New Roman" w:cs="Times New Roman"/>
          <w:sz w:val="24"/>
          <w:szCs w:val="24"/>
        </w:rPr>
      </w:pPr>
      <w:proofErr w:type="gramStart"/>
      <w:r w:rsidRPr="00757056">
        <w:rPr>
          <w:rFonts w:ascii="Times New Roman" w:hAnsi="Times New Roman" w:cs="Times New Roman"/>
          <w:sz w:val="24"/>
          <w:szCs w:val="24"/>
        </w:rPr>
        <w:t>assess</w:t>
      </w:r>
      <w:proofErr w:type="gramEnd"/>
      <w:r w:rsidRPr="00757056">
        <w:rPr>
          <w:rFonts w:ascii="Times New Roman" w:hAnsi="Times New Roman" w:cs="Times New Roman"/>
          <w:sz w:val="24"/>
          <w:szCs w:val="24"/>
        </w:rPr>
        <w:t xml:space="preserve"> the effectiveness of government intervention in achieving food security, identifying key success factors and challenges. </w:t>
      </w:r>
    </w:p>
    <w:p w14:paraId="0000001B" w14:textId="77777777" w:rsidR="00BA7DAA" w:rsidRPr="00212DDD" w:rsidRDefault="00BA7DAA" w:rsidP="00212DDD">
      <w:pPr>
        <w:jc w:val="both"/>
        <w:rPr>
          <w:rFonts w:ascii="Times New Roman" w:eastAsia="Roboto" w:hAnsi="Times New Roman" w:cs="Times New Roman"/>
          <w:color w:val="374151"/>
          <w:sz w:val="24"/>
          <w:szCs w:val="24"/>
        </w:rPr>
      </w:pPr>
    </w:p>
    <w:p w14:paraId="62447B05" w14:textId="77777777" w:rsidR="00B75AF0" w:rsidRDefault="00B75AF0" w:rsidP="00212DDD">
      <w:pPr>
        <w:jc w:val="both"/>
        <w:rPr>
          <w:rFonts w:ascii="Times New Roman" w:eastAsia="Roboto" w:hAnsi="Times New Roman" w:cs="Times New Roman"/>
          <w:b/>
          <w:color w:val="374151"/>
          <w:sz w:val="24"/>
          <w:szCs w:val="24"/>
        </w:rPr>
      </w:pPr>
    </w:p>
    <w:p w14:paraId="0000001C" w14:textId="738BE331" w:rsidR="00BA7DAA" w:rsidRPr="00B75AF0" w:rsidRDefault="00CD4C0A" w:rsidP="00B75AF0">
      <w:pPr>
        <w:pStyle w:val="ListParagraph"/>
        <w:numPr>
          <w:ilvl w:val="0"/>
          <w:numId w:val="7"/>
        </w:numPr>
        <w:jc w:val="both"/>
        <w:rPr>
          <w:rFonts w:ascii="Times New Roman" w:eastAsia="Roboto" w:hAnsi="Times New Roman" w:cs="Times New Roman"/>
          <w:b/>
          <w:color w:val="374151"/>
          <w:sz w:val="24"/>
          <w:szCs w:val="24"/>
        </w:rPr>
      </w:pPr>
      <w:r w:rsidRPr="00B75AF0">
        <w:rPr>
          <w:rFonts w:ascii="Times New Roman" w:eastAsia="Roboto" w:hAnsi="Times New Roman" w:cs="Times New Roman"/>
          <w:b/>
          <w:color w:val="374151"/>
          <w:sz w:val="24"/>
          <w:szCs w:val="24"/>
        </w:rPr>
        <w:t xml:space="preserve">Literature Review </w:t>
      </w:r>
    </w:p>
    <w:p w14:paraId="0000001E" w14:textId="77777777" w:rsidR="00BA7DAA" w:rsidRPr="00212DDD" w:rsidRDefault="00BA7DAA" w:rsidP="00212DDD">
      <w:pPr>
        <w:jc w:val="both"/>
        <w:rPr>
          <w:rFonts w:ascii="Times New Roman" w:hAnsi="Times New Roman" w:cs="Times New Roman"/>
          <w:sz w:val="24"/>
          <w:szCs w:val="24"/>
        </w:rPr>
      </w:pPr>
    </w:p>
    <w:p w14:paraId="0000001F" w14:textId="77777777" w:rsidR="00BA7DAA" w:rsidRDefault="00CD4C0A" w:rsidP="00212DDD">
      <w:pPr>
        <w:jc w:val="both"/>
        <w:rPr>
          <w:rFonts w:ascii="Times New Roman" w:hAnsi="Times New Roman" w:cs="Times New Roman"/>
          <w:sz w:val="24"/>
          <w:szCs w:val="24"/>
        </w:rPr>
      </w:pPr>
      <w:r w:rsidRPr="00212DDD">
        <w:rPr>
          <w:rFonts w:ascii="Times New Roman" w:hAnsi="Times New Roman" w:cs="Times New Roman"/>
          <w:sz w:val="24"/>
          <w:szCs w:val="24"/>
        </w:rPr>
        <w:t xml:space="preserve">The interconnection of food security, the shift to renewable energy, democracy, and government expenditure in Africa necessitates a thorough examination due to its complex nature. Advocates argue that a comprehensive approach, integrating renewable energy into agricultural practices under democratic governance, can enhance food security (Adams &amp; </w:t>
      </w:r>
      <w:proofErr w:type="spellStart"/>
      <w:r w:rsidRPr="00212DDD">
        <w:rPr>
          <w:rFonts w:ascii="Times New Roman" w:hAnsi="Times New Roman" w:cs="Times New Roman"/>
          <w:sz w:val="24"/>
          <w:szCs w:val="24"/>
        </w:rPr>
        <w:t>Acheampong</w:t>
      </w:r>
      <w:proofErr w:type="spellEnd"/>
      <w:r w:rsidRPr="00212DDD">
        <w:rPr>
          <w:rFonts w:ascii="Times New Roman" w:hAnsi="Times New Roman" w:cs="Times New Roman"/>
          <w:sz w:val="24"/>
          <w:szCs w:val="24"/>
        </w:rPr>
        <w:t xml:space="preserve">, 2019; </w:t>
      </w:r>
      <w:proofErr w:type="spellStart"/>
      <w:r w:rsidRPr="00212DDD">
        <w:rPr>
          <w:rFonts w:ascii="Times New Roman" w:hAnsi="Times New Roman" w:cs="Times New Roman"/>
          <w:sz w:val="24"/>
          <w:szCs w:val="24"/>
        </w:rPr>
        <w:t>Kinda</w:t>
      </w:r>
      <w:proofErr w:type="spellEnd"/>
      <w:r w:rsidRPr="00212DDD">
        <w:rPr>
          <w:rFonts w:ascii="Times New Roman" w:hAnsi="Times New Roman" w:cs="Times New Roman"/>
          <w:sz w:val="24"/>
          <w:szCs w:val="24"/>
        </w:rPr>
        <w:t xml:space="preserve">, 2021). However, opponents highlight potential trade-offs and challenges in resource allocation, emphasizing the need for context-specific policies (Van </w:t>
      </w:r>
      <w:proofErr w:type="spellStart"/>
      <w:r w:rsidRPr="00212DDD">
        <w:rPr>
          <w:rFonts w:ascii="Times New Roman" w:hAnsi="Times New Roman" w:cs="Times New Roman"/>
          <w:sz w:val="24"/>
          <w:szCs w:val="24"/>
        </w:rPr>
        <w:t>Dijk</w:t>
      </w:r>
      <w:proofErr w:type="spellEnd"/>
      <w:r w:rsidRPr="00212DDD">
        <w:rPr>
          <w:rFonts w:ascii="Times New Roman" w:hAnsi="Times New Roman" w:cs="Times New Roman"/>
          <w:sz w:val="24"/>
          <w:szCs w:val="24"/>
        </w:rPr>
        <w:t xml:space="preserve"> et al., 2021).</w:t>
      </w:r>
    </w:p>
    <w:p w14:paraId="21270A5C" w14:textId="77777777" w:rsidR="00B75AF0" w:rsidRPr="00B75AF0" w:rsidRDefault="00B75AF0" w:rsidP="00212DDD">
      <w:pPr>
        <w:jc w:val="both"/>
        <w:rPr>
          <w:rFonts w:ascii="Times New Roman" w:hAnsi="Times New Roman" w:cs="Times New Roman"/>
          <w:sz w:val="12"/>
          <w:szCs w:val="24"/>
        </w:rPr>
      </w:pPr>
    </w:p>
    <w:p w14:paraId="00000023" w14:textId="1F4124A1" w:rsidR="00BA7DAA" w:rsidRDefault="00CD4C0A" w:rsidP="00212DDD">
      <w:pPr>
        <w:jc w:val="both"/>
        <w:rPr>
          <w:rFonts w:ascii="Times New Roman" w:hAnsi="Times New Roman" w:cs="Times New Roman"/>
          <w:sz w:val="24"/>
          <w:szCs w:val="24"/>
        </w:rPr>
      </w:pPr>
      <w:r w:rsidRPr="00212DDD">
        <w:rPr>
          <w:rFonts w:ascii="Times New Roman" w:hAnsi="Times New Roman" w:cs="Times New Roman"/>
          <w:sz w:val="24"/>
          <w:szCs w:val="24"/>
        </w:rPr>
        <w:t xml:space="preserve">There is a lack of specific understanding of the impact of democracy and renewable energy on carbon emissions in sub-Saharan African countries (Adams &amp; </w:t>
      </w:r>
      <w:proofErr w:type="spellStart"/>
      <w:r w:rsidRPr="00212DDD">
        <w:rPr>
          <w:rFonts w:ascii="Times New Roman" w:hAnsi="Times New Roman" w:cs="Times New Roman"/>
          <w:sz w:val="24"/>
          <w:szCs w:val="24"/>
        </w:rPr>
        <w:t>Acheampong</w:t>
      </w:r>
      <w:proofErr w:type="spellEnd"/>
      <w:r w:rsidRPr="00212DDD">
        <w:rPr>
          <w:rFonts w:ascii="Times New Roman" w:hAnsi="Times New Roman" w:cs="Times New Roman"/>
          <w:sz w:val="24"/>
          <w:szCs w:val="24"/>
        </w:rPr>
        <w:t>, 2019). This gap may be worsened by the absence of comprehensive studies considering the interaction between democracy, renewable energy, and carbon emissions in this region.</w:t>
      </w:r>
      <w:r w:rsidR="00B75AF0">
        <w:rPr>
          <w:rFonts w:ascii="Times New Roman" w:hAnsi="Times New Roman" w:cs="Times New Roman"/>
          <w:sz w:val="24"/>
          <w:szCs w:val="24"/>
        </w:rPr>
        <w:t xml:space="preserve"> </w:t>
      </w:r>
      <w:r w:rsidRPr="00212DDD">
        <w:rPr>
          <w:rFonts w:ascii="Times New Roman" w:hAnsi="Times New Roman" w:cs="Times New Roman"/>
          <w:sz w:val="24"/>
          <w:szCs w:val="24"/>
        </w:rPr>
        <w:t>The literature suggests controversial effects of green economy indicators on food security in the region, indicating a lack of consensus (</w:t>
      </w:r>
      <w:proofErr w:type="spellStart"/>
      <w:r w:rsidRPr="00212DDD">
        <w:rPr>
          <w:rFonts w:ascii="Times New Roman" w:hAnsi="Times New Roman" w:cs="Times New Roman"/>
          <w:sz w:val="24"/>
          <w:szCs w:val="24"/>
        </w:rPr>
        <w:t>Kinda</w:t>
      </w:r>
      <w:proofErr w:type="spellEnd"/>
      <w:r w:rsidRPr="00212DDD">
        <w:rPr>
          <w:rFonts w:ascii="Times New Roman" w:hAnsi="Times New Roman" w:cs="Times New Roman"/>
          <w:sz w:val="24"/>
          <w:szCs w:val="24"/>
        </w:rPr>
        <w:t>, 2021). Additionally, there is insufficient attention given to the holistic needs of farmers for food production, the food-energy nexus, and the integrated solutions required to address the complex challenges faced by African agriculture and energy sectors (Shirley, 2021).</w:t>
      </w:r>
    </w:p>
    <w:p w14:paraId="71C5250A" w14:textId="77777777" w:rsidR="00B75AF0" w:rsidRPr="00B75AF0" w:rsidRDefault="00B75AF0" w:rsidP="00212DDD">
      <w:pPr>
        <w:jc w:val="both"/>
        <w:rPr>
          <w:rFonts w:ascii="Times New Roman" w:hAnsi="Times New Roman" w:cs="Times New Roman"/>
          <w:sz w:val="12"/>
          <w:szCs w:val="24"/>
        </w:rPr>
      </w:pPr>
    </w:p>
    <w:p w14:paraId="00000025" w14:textId="4A48B76F" w:rsidR="00BA7DAA" w:rsidRDefault="00FE03B2" w:rsidP="00212DDD">
      <w:pPr>
        <w:jc w:val="both"/>
        <w:rPr>
          <w:rFonts w:ascii="Times New Roman" w:hAnsi="Times New Roman" w:cs="Times New Roman"/>
          <w:sz w:val="24"/>
          <w:szCs w:val="24"/>
        </w:rPr>
      </w:pPr>
      <w:r w:rsidRPr="00212DDD">
        <w:rPr>
          <w:rFonts w:ascii="Times New Roman" w:hAnsi="Times New Roman" w:cs="Times New Roman"/>
          <w:sz w:val="24"/>
          <w:szCs w:val="24"/>
        </w:rPr>
        <w:t xml:space="preserve">The </w:t>
      </w:r>
      <w:r w:rsidR="00CD4C0A" w:rsidRPr="00212DDD">
        <w:rPr>
          <w:rFonts w:ascii="Times New Roman" w:hAnsi="Times New Roman" w:cs="Times New Roman"/>
          <w:sz w:val="24"/>
          <w:szCs w:val="24"/>
        </w:rPr>
        <w:t>transition to renewable energy can revolutionize agriculture in Africa, mitigating the impacts of climate change and enhancing food security (</w:t>
      </w:r>
      <w:proofErr w:type="spellStart"/>
      <w:r w:rsidR="00CD4C0A" w:rsidRPr="00212DDD">
        <w:rPr>
          <w:rFonts w:ascii="Times New Roman" w:hAnsi="Times New Roman" w:cs="Times New Roman"/>
          <w:sz w:val="24"/>
          <w:szCs w:val="24"/>
        </w:rPr>
        <w:t>Kinda</w:t>
      </w:r>
      <w:proofErr w:type="spellEnd"/>
      <w:r w:rsidR="00CD4C0A" w:rsidRPr="00212DDD">
        <w:rPr>
          <w:rFonts w:ascii="Times New Roman" w:hAnsi="Times New Roman" w:cs="Times New Roman"/>
          <w:sz w:val="24"/>
          <w:szCs w:val="24"/>
        </w:rPr>
        <w:t xml:space="preserve">, 2021; Shirley, 2021). Improved access to sustainable energy promotes mechanization, irrigation, and post-harvest processing (Adams &amp; </w:t>
      </w:r>
      <w:proofErr w:type="spellStart"/>
      <w:r w:rsidR="00CD4C0A" w:rsidRPr="00212DDD">
        <w:rPr>
          <w:rFonts w:ascii="Times New Roman" w:hAnsi="Times New Roman" w:cs="Times New Roman"/>
          <w:sz w:val="24"/>
          <w:szCs w:val="24"/>
        </w:rPr>
        <w:t>Acheampong</w:t>
      </w:r>
      <w:proofErr w:type="spellEnd"/>
      <w:r w:rsidR="00CD4C0A" w:rsidRPr="00212DDD">
        <w:rPr>
          <w:rFonts w:ascii="Times New Roman" w:hAnsi="Times New Roman" w:cs="Times New Roman"/>
          <w:sz w:val="24"/>
          <w:szCs w:val="24"/>
        </w:rPr>
        <w:t xml:space="preserve">, 2019). </w:t>
      </w:r>
      <w:r w:rsidRPr="00212DDD">
        <w:rPr>
          <w:rFonts w:ascii="Times New Roman" w:hAnsi="Times New Roman" w:cs="Times New Roman"/>
          <w:sz w:val="24"/>
          <w:szCs w:val="24"/>
        </w:rPr>
        <w:t xml:space="preserve">Countries </w:t>
      </w:r>
      <w:r w:rsidR="00CD4C0A" w:rsidRPr="00212DDD">
        <w:rPr>
          <w:rFonts w:ascii="Times New Roman" w:hAnsi="Times New Roman" w:cs="Times New Roman"/>
          <w:sz w:val="24"/>
          <w:szCs w:val="24"/>
        </w:rPr>
        <w:t>embracing renewable energy, such as Kenya and South Africa, witness increased agricultural productivity (</w:t>
      </w:r>
      <w:proofErr w:type="spellStart"/>
      <w:r w:rsidR="00CD4C0A" w:rsidRPr="00212DDD">
        <w:rPr>
          <w:rFonts w:ascii="Times New Roman" w:hAnsi="Times New Roman" w:cs="Times New Roman"/>
          <w:sz w:val="24"/>
          <w:szCs w:val="24"/>
        </w:rPr>
        <w:t>Kinda</w:t>
      </w:r>
      <w:proofErr w:type="spellEnd"/>
      <w:r w:rsidR="00CD4C0A" w:rsidRPr="00212DDD">
        <w:rPr>
          <w:rFonts w:ascii="Times New Roman" w:hAnsi="Times New Roman" w:cs="Times New Roman"/>
          <w:sz w:val="24"/>
          <w:szCs w:val="24"/>
        </w:rPr>
        <w:t xml:space="preserve">, 2021). However, challenges emerge, including the initial high costs of renewable infrastructure and intermittent energy supply disrupting farming operations (Adams &amp; </w:t>
      </w:r>
      <w:proofErr w:type="spellStart"/>
      <w:r w:rsidR="00CD4C0A" w:rsidRPr="00212DDD">
        <w:rPr>
          <w:rFonts w:ascii="Times New Roman" w:hAnsi="Times New Roman" w:cs="Times New Roman"/>
          <w:sz w:val="24"/>
          <w:szCs w:val="24"/>
        </w:rPr>
        <w:t>Acheampong</w:t>
      </w:r>
      <w:proofErr w:type="spellEnd"/>
      <w:r w:rsidR="00CD4C0A" w:rsidRPr="00212DDD">
        <w:rPr>
          <w:rFonts w:ascii="Times New Roman" w:hAnsi="Times New Roman" w:cs="Times New Roman"/>
          <w:sz w:val="24"/>
          <w:szCs w:val="24"/>
        </w:rPr>
        <w:t>, 2019).</w:t>
      </w:r>
    </w:p>
    <w:p w14:paraId="332AE49F" w14:textId="77777777" w:rsidR="00B75AF0" w:rsidRPr="00B75AF0" w:rsidRDefault="00B75AF0" w:rsidP="00212DDD">
      <w:pPr>
        <w:jc w:val="both"/>
        <w:rPr>
          <w:rFonts w:ascii="Times New Roman" w:hAnsi="Times New Roman" w:cs="Times New Roman"/>
          <w:sz w:val="12"/>
          <w:szCs w:val="24"/>
        </w:rPr>
      </w:pPr>
    </w:p>
    <w:p w14:paraId="00000028" w14:textId="77777777" w:rsidR="00BA7DAA" w:rsidRDefault="00CD4C0A" w:rsidP="00212DDD">
      <w:pPr>
        <w:jc w:val="both"/>
        <w:rPr>
          <w:rFonts w:ascii="Times New Roman" w:hAnsi="Times New Roman" w:cs="Times New Roman"/>
          <w:sz w:val="24"/>
          <w:szCs w:val="24"/>
        </w:rPr>
      </w:pPr>
      <w:r w:rsidRPr="00212DDD">
        <w:rPr>
          <w:rFonts w:ascii="Times New Roman" w:hAnsi="Times New Roman" w:cs="Times New Roman"/>
          <w:sz w:val="24"/>
          <w:szCs w:val="24"/>
        </w:rPr>
        <w:t>Democratic governance positively influences food security by fostering transparency, accountability, and citizen participation (</w:t>
      </w:r>
      <w:proofErr w:type="spellStart"/>
      <w:r w:rsidRPr="00212DDD">
        <w:rPr>
          <w:rFonts w:ascii="Times New Roman" w:hAnsi="Times New Roman" w:cs="Times New Roman"/>
          <w:sz w:val="24"/>
          <w:szCs w:val="24"/>
        </w:rPr>
        <w:t>Ogunniyi</w:t>
      </w:r>
      <w:proofErr w:type="spellEnd"/>
      <w:r w:rsidRPr="00212DDD">
        <w:rPr>
          <w:rFonts w:ascii="Times New Roman" w:hAnsi="Times New Roman" w:cs="Times New Roman"/>
          <w:sz w:val="24"/>
          <w:szCs w:val="24"/>
        </w:rPr>
        <w:t xml:space="preserve"> et al., 2020). Stable democratic institutions, as seen in countries like Ghana and Botswana, correlate with improved food security indicators (</w:t>
      </w:r>
      <w:proofErr w:type="spellStart"/>
      <w:r w:rsidRPr="00212DDD">
        <w:rPr>
          <w:rFonts w:ascii="Times New Roman" w:hAnsi="Times New Roman" w:cs="Times New Roman"/>
          <w:sz w:val="24"/>
          <w:szCs w:val="24"/>
        </w:rPr>
        <w:t>Ogunniyi</w:t>
      </w:r>
      <w:proofErr w:type="spellEnd"/>
      <w:r w:rsidRPr="00212DDD">
        <w:rPr>
          <w:rFonts w:ascii="Times New Roman" w:hAnsi="Times New Roman" w:cs="Times New Roman"/>
          <w:sz w:val="24"/>
          <w:szCs w:val="24"/>
        </w:rPr>
        <w:t xml:space="preserve"> et al., 2020). However, political instability within democracies can lead to policy fluctuations and disruptions in agricultural development, posing challenges to maintaining effective policy continuity (</w:t>
      </w:r>
      <w:proofErr w:type="spellStart"/>
      <w:r w:rsidRPr="00212DDD">
        <w:rPr>
          <w:rFonts w:ascii="Times New Roman" w:hAnsi="Times New Roman" w:cs="Times New Roman"/>
          <w:sz w:val="24"/>
          <w:szCs w:val="24"/>
        </w:rPr>
        <w:t>Hemed</w:t>
      </w:r>
      <w:proofErr w:type="spellEnd"/>
      <w:r w:rsidRPr="00212DDD">
        <w:rPr>
          <w:rFonts w:ascii="Times New Roman" w:hAnsi="Times New Roman" w:cs="Times New Roman"/>
          <w:sz w:val="24"/>
          <w:szCs w:val="24"/>
        </w:rPr>
        <w:t>, 2019).</w:t>
      </w:r>
    </w:p>
    <w:p w14:paraId="0F91887F" w14:textId="33517960" w:rsidR="00B75AF0" w:rsidRPr="00FE03B2" w:rsidRDefault="00B75AF0" w:rsidP="00212DDD">
      <w:pPr>
        <w:jc w:val="both"/>
        <w:rPr>
          <w:rFonts w:ascii="Times New Roman" w:hAnsi="Times New Roman" w:cs="Times New Roman"/>
          <w:sz w:val="14"/>
          <w:szCs w:val="24"/>
        </w:rPr>
      </w:pPr>
    </w:p>
    <w:p w14:paraId="7621F7E1" w14:textId="77777777" w:rsidR="00B75AF0" w:rsidRDefault="00CD4C0A" w:rsidP="00212DDD">
      <w:pPr>
        <w:jc w:val="both"/>
        <w:rPr>
          <w:rFonts w:ascii="Times New Roman" w:hAnsi="Times New Roman" w:cs="Times New Roman"/>
          <w:sz w:val="24"/>
          <w:szCs w:val="24"/>
        </w:rPr>
      </w:pPr>
      <w:r w:rsidRPr="00212DDD">
        <w:rPr>
          <w:rFonts w:ascii="Times New Roman" w:hAnsi="Times New Roman" w:cs="Times New Roman"/>
          <w:sz w:val="24"/>
          <w:szCs w:val="24"/>
        </w:rPr>
        <w:t>Strategic government spending, fight against corruption, and ease of doing business can address food security challenges amidst Africa's rapid population growth (</w:t>
      </w:r>
      <w:proofErr w:type="spellStart"/>
      <w:r w:rsidRPr="00212DDD">
        <w:rPr>
          <w:rFonts w:ascii="Times New Roman" w:hAnsi="Times New Roman" w:cs="Times New Roman"/>
          <w:sz w:val="24"/>
          <w:szCs w:val="24"/>
        </w:rPr>
        <w:t>Fontan</w:t>
      </w:r>
      <w:proofErr w:type="spellEnd"/>
      <w:r w:rsidRPr="00212DDD">
        <w:rPr>
          <w:rFonts w:ascii="Times New Roman" w:hAnsi="Times New Roman" w:cs="Times New Roman"/>
          <w:sz w:val="24"/>
          <w:szCs w:val="24"/>
        </w:rPr>
        <w:t xml:space="preserve"> </w:t>
      </w:r>
      <w:proofErr w:type="spellStart"/>
      <w:r w:rsidRPr="00212DDD">
        <w:rPr>
          <w:rFonts w:ascii="Times New Roman" w:hAnsi="Times New Roman" w:cs="Times New Roman"/>
          <w:sz w:val="24"/>
          <w:szCs w:val="24"/>
        </w:rPr>
        <w:t>Sers</w:t>
      </w:r>
      <w:proofErr w:type="spellEnd"/>
      <w:r w:rsidRPr="00212DDD">
        <w:rPr>
          <w:rFonts w:ascii="Times New Roman" w:hAnsi="Times New Roman" w:cs="Times New Roman"/>
          <w:sz w:val="24"/>
          <w:szCs w:val="24"/>
        </w:rPr>
        <w:t xml:space="preserve"> &amp; Mughal, 2019; </w:t>
      </w:r>
      <w:proofErr w:type="spellStart"/>
      <w:r w:rsidRPr="00212DDD">
        <w:rPr>
          <w:rFonts w:ascii="Times New Roman" w:hAnsi="Times New Roman" w:cs="Times New Roman"/>
          <w:sz w:val="24"/>
          <w:szCs w:val="24"/>
        </w:rPr>
        <w:t>Ogunniyi</w:t>
      </w:r>
      <w:proofErr w:type="spellEnd"/>
      <w:r w:rsidRPr="00212DDD">
        <w:rPr>
          <w:rFonts w:ascii="Times New Roman" w:hAnsi="Times New Roman" w:cs="Times New Roman"/>
          <w:sz w:val="24"/>
          <w:szCs w:val="24"/>
        </w:rPr>
        <w:t xml:space="preserve"> et al., 2020). However, critics contend that excessive population growth strains resources, hindering food security (van </w:t>
      </w:r>
      <w:proofErr w:type="spellStart"/>
      <w:r w:rsidRPr="00212DDD">
        <w:rPr>
          <w:rFonts w:ascii="Times New Roman" w:hAnsi="Times New Roman" w:cs="Times New Roman"/>
          <w:sz w:val="24"/>
          <w:szCs w:val="24"/>
        </w:rPr>
        <w:t>Dijk</w:t>
      </w:r>
      <w:proofErr w:type="spellEnd"/>
      <w:r w:rsidRPr="00212DDD">
        <w:rPr>
          <w:rFonts w:ascii="Times New Roman" w:hAnsi="Times New Roman" w:cs="Times New Roman"/>
          <w:sz w:val="24"/>
          <w:szCs w:val="24"/>
        </w:rPr>
        <w:t xml:space="preserve"> et al., 2021). The transition to renewable energy is seen as pivotal, yet skeptics argue that initial costs may divert funds from immediate needs (Adams &amp; </w:t>
      </w:r>
      <w:proofErr w:type="spellStart"/>
      <w:r w:rsidRPr="00212DDD">
        <w:rPr>
          <w:rFonts w:ascii="Times New Roman" w:hAnsi="Times New Roman" w:cs="Times New Roman"/>
          <w:sz w:val="24"/>
          <w:szCs w:val="24"/>
        </w:rPr>
        <w:t>Acheampong</w:t>
      </w:r>
      <w:proofErr w:type="spellEnd"/>
      <w:r w:rsidRPr="00212DDD">
        <w:rPr>
          <w:rFonts w:ascii="Times New Roman" w:hAnsi="Times New Roman" w:cs="Times New Roman"/>
          <w:sz w:val="24"/>
          <w:szCs w:val="24"/>
        </w:rPr>
        <w:t>, 2019). Democracy is viewed as beneficial for governance, but detractors highlight potential instability affecting policies (</w:t>
      </w:r>
      <w:proofErr w:type="spellStart"/>
      <w:r w:rsidRPr="00212DDD">
        <w:rPr>
          <w:rFonts w:ascii="Times New Roman" w:hAnsi="Times New Roman" w:cs="Times New Roman"/>
          <w:sz w:val="24"/>
          <w:szCs w:val="24"/>
        </w:rPr>
        <w:t>Khodaverdian</w:t>
      </w:r>
      <w:proofErr w:type="spellEnd"/>
      <w:r w:rsidRPr="00212DDD">
        <w:rPr>
          <w:rFonts w:ascii="Times New Roman" w:hAnsi="Times New Roman" w:cs="Times New Roman"/>
          <w:sz w:val="24"/>
          <w:szCs w:val="24"/>
        </w:rPr>
        <w:t>, 2021). Scientifically, statistics show a complex interplay, demanding nuanced strategies (Ahmed et al., 2021).</w:t>
      </w:r>
    </w:p>
    <w:p w14:paraId="0000002D" w14:textId="102F6827" w:rsidR="00BA7DAA" w:rsidRDefault="00CD4C0A" w:rsidP="00212DDD">
      <w:pPr>
        <w:jc w:val="both"/>
        <w:rPr>
          <w:rFonts w:ascii="Times New Roman" w:hAnsi="Times New Roman" w:cs="Times New Roman"/>
          <w:sz w:val="24"/>
          <w:szCs w:val="24"/>
        </w:rPr>
      </w:pPr>
      <w:r w:rsidRPr="00212DDD">
        <w:rPr>
          <w:rFonts w:ascii="Times New Roman" w:hAnsi="Times New Roman" w:cs="Times New Roman"/>
          <w:sz w:val="24"/>
          <w:szCs w:val="24"/>
        </w:rPr>
        <w:t>Economic growth stimulates resources for effective governance, aiding food security and renewable energy transition (</w:t>
      </w:r>
      <w:proofErr w:type="spellStart"/>
      <w:r w:rsidRPr="00212DDD">
        <w:rPr>
          <w:rFonts w:ascii="Times New Roman" w:hAnsi="Times New Roman" w:cs="Times New Roman"/>
          <w:sz w:val="24"/>
          <w:szCs w:val="24"/>
        </w:rPr>
        <w:t>Giller</w:t>
      </w:r>
      <w:proofErr w:type="spellEnd"/>
      <w:r w:rsidRPr="00212DDD">
        <w:rPr>
          <w:rFonts w:ascii="Times New Roman" w:hAnsi="Times New Roman" w:cs="Times New Roman"/>
          <w:sz w:val="24"/>
          <w:szCs w:val="24"/>
        </w:rPr>
        <w:t>, 2020). However, critics contend that uneven wealth distribution can exacerbate food insecurity (</w:t>
      </w:r>
      <w:proofErr w:type="spellStart"/>
      <w:r w:rsidRPr="00212DDD">
        <w:rPr>
          <w:rFonts w:ascii="Times New Roman" w:hAnsi="Times New Roman" w:cs="Times New Roman"/>
          <w:sz w:val="24"/>
          <w:szCs w:val="24"/>
        </w:rPr>
        <w:t>Fontan</w:t>
      </w:r>
      <w:proofErr w:type="spellEnd"/>
      <w:r w:rsidRPr="00212DDD">
        <w:rPr>
          <w:rFonts w:ascii="Times New Roman" w:hAnsi="Times New Roman" w:cs="Times New Roman"/>
          <w:sz w:val="24"/>
          <w:szCs w:val="24"/>
        </w:rPr>
        <w:t xml:space="preserve"> </w:t>
      </w:r>
      <w:proofErr w:type="spellStart"/>
      <w:r w:rsidRPr="00212DDD">
        <w:rPr>
          <w:rFonts w:ascii="Times New Roman" w:hAnsi="Times New Roman" w:cs="Times New Roman"/>
          <w:sz w:val="24"/>
          <w:szCs w:val="24"/>
        </w:rPr>
        <w:t>Sers</w:t>
      </w:r>
      <w:proofErr w:type="spellEnd"/>
      <w:r w:rsidRPr="00212DDD">
        <w:rPr>
          <w:rFonts w:ascii="Times New Roman" w:hAnsi="Times New Roman" w:cs="Times New Roman"/>
          <w:sz w:val="24"/>
          <w:szCs w:val="24"/>
        </w:rPr>
        <w:t xml:space="preserve"> &amp; Mughal, 2019). The transition to renewable energy is viewed favorably for environmental sustainability, but skeptics question its feasibility amidst economic constraints (Adams &amp; </w:t>
      </w:r>
      <w:proofErr w:type="spellStart"/>
      <w:r w:rsidRPr="00212DDD">
        <w:rPr>
          <w:rFonts w:ascii="Times New Roman" w:hAnsi="Times New Roman" w:cs="Times New Roman"/>
          <w:sz w:val="24"/>
          <w:szCs w:val="24"/>
        </w:rPr>
        <w:t>Acheampong</w:t>
      </w:r>
      <w:proofErr w:type="spellEnd"/>
      <w:r w:rsidRPr="00212DDD">
        <w:rPr>
          <w:rFonts w:ascii="Times New Roman" w:hAnsi="Times New Roman" w:cs="Times New Roman"/>
          <w:sz w:val="24"/>
          <w:szCs w:val="24"/>
        </w:rPr>
        <w:t>, 2019). Democracy is seen as fostering responsible governance, yet detractors highlight potential policy fluctuations (</w:t>
      </w:r>
      <w:proofErr w:type="spellStart"/>
      <w:r w:rsidRPr="00212DDD">
        <w:rPr>
          <w:rFonts w:ascii="Times New Roman" w:hAnsi="Times New Roman" w:cs="Times New Roman"/>
          <w:sz w:val="24"/>
          <w:szCs w:val="24"/>
        </w:rPr>
        <w:t>Hemed</w:t>
      </w:r>
      <w:proofErr w:type="spellEnd"/>
      <w:r w:rsidRPr="00212DDD">
        <w:rPr>
          <w:rFonts w:ascii="Times New Roman" w:hAnsi="Times New Roman" w:cs="Times New Roman"/>
          <w:sz w:val="24"/>
          <w:szCs w:val="24"/>
        </w:rPr>
        <w:t>, 2019). Africa's challenge lies in harmonizing economic growth, resource allocation, food security, renewable energy adoption, and democratic governance (</w:t>
      </w:r>
      <w:proofErr w:type="spellStart"/>
      <w:r w:rsidRPr="00212DDD">
        <w:rPr>
          <w:rFonts w:ascii="Times New Roman" w:hAnsi="Times New Roman" w:cs="Times New Roman"/>
          <w:sz w:val="24"/>
          <w:szCs w:val="24"/>
        </w:rPr>
        <w:t>Kinda</w:t>
      </w:r>
      <w:proofErr w:type="spellEnd"/>
      <w:r w:rsidRPr="00212DDD">
        <w:rPr>
          <w:rFonts w:ascii="Times New Roman" w:hAnsi="Times New Roman" w:cs="Times New Roman"/>
          <w:sz w:val="24"/>
          <w:szCs w:val="24"/>
        </w:rPr>
        <w:t>, 2021; Shirley, 2021).</w:t>
      </w:r>
    </w:p>
    <w:p w14:paraId="57AA13F7" w14:textId="77777777" w:rsidR="00B75AF0" w:rsidRPr="00B75AF0" w:rsidRDefault="00B75AF0" w:rsidP="00212DDD">
      <w:pPr>
        <w:jc w:val="both"/>
        <w:rPr>
          <w:rFonts w:ascii="Times New Roman" w:hAnsi="Times New Roman" w:cs="Times New Roman"/>
          <w:sz w:val="12"/>
          <w:szCs w:val="24"/>
        </w:rPr>
      </w:pPr>
    </w:p>
    <w:p w14:paraId="0000002F" w14:textId="77777777" w:rsidR="00BA7DAA" w:rsidRPr="00212DDD" w:rsidRDefault="00CD4C0A" w:rsidP="00212DDD">
      <w:pPr>
        <w:jc w:val="both"/>
        <w:rPr>
          <w:rFonts w:ascii="Times New Roman" w:hAnsi="Times New Roman" w:cs="Times New Roman"/>
          <w:sz w:val="24"/>
          <w:szCs w:val="24"/>
        </w:rPr>
      </w:pPr>
      <w:r w:rsidRPr="00212DDD">
        <w:rPr>
          <w:rFonts w:ascii="Times New Roman" w:hAnsi="Times New Roman" w:cs="Times New Roman"/>
          <w:sz w:val="24"/>
          <w:szCs w:val="24"/>
        </w:rPr>
        <w:t>Foreign Direct Investment (FDI) can spur economic growth, benefiting government spending, food security, and renewable energy transition (</w:t>
      </w:r>
      <w:proofErr w:type="spellStart"/>
      <w:r w:rsidRPr="00212DDD">
        <w:rPr>
          <w:rFonts w:ascii="Times New Roman" w:hAnsi="Times New Roman" w:cs="Times New Roman"/>
          <w:sz w:val="24"/>
          <w:szCs w:val="24"/>
        </w:rPr>
        <w:t>Kinda</w:t>
      </w:r>
      <w:proofErr w:type="spellEnd"/>
      <w:r w:rsidRPr="00212DDD">
        <w:rPr>
          <w:rFonts w:ascii="Times New Roman" w:hAnsi="Times New Roman" w:cs="Times New Roman"/>
          <w:sz w:val="24"/>
          <w:szCs w:val="24"/>
        </w:rPr>
        <w:t xml:space="preserve">, 2021; Adams &amp; </w:t>
      </w:r>
      <w:proofErr w:type="spellStart"/>
      <w:r w:rsidRPr="00212DDD">
        <w:rPr>
          <w:rFonts w:ascii="Times New Roman" w:hAnsi="Times New Roman" w:cs="Times New Roman"/>
          <w:sz w:val="24"/>
          <w:szCs w:val="24"/>
        </w:rPr>
        <w:t>Acheampong</w:t>
      </w:r>
      <w:proofErr w:type="spellEnd"/>
      <w:r w:rsidRPr="00212DDD">
        <w:rPr>
          <w:rFonts w:ascii="Times New Roman" w:hAnsi="Times New Roman" w:cs="Times New Roman"/>
          <w:sz w:val="24"/>
          <w:szCs w:val="24"/>
        </w:rPr>
        <w:t>, 2019). However, critics caution against exploitation risks, potential misalignment with local needs, and economic inequality (</w:t>
      </w:r>
      <w:proofErr w:type="spellStart"/>
      <w:r w:rsidRPr="00212DDD">
        <w:rPr>
          <w:rFonts w:ascii="Times New Roman" w:hAnsi="Times New Roman" w:cs="Times New Roman"/>
          <w:sz w:val="24"/>
          <w:szCs w:val="24"/>
        </w:rPr>
        <w:t>Nitescu</w:t>
      </w:r>
      <w:proofErr w:type="spellEnd"/>
      <w:r w:rsidRPr="00212DDD">
        <w:rPr>
          <w:rFonts w:ascii="Times New Roman" w:hAnsi="Times New Roman" w:cs="Times New Roman"/>
          <w:sz w:val="24"/>
          <w:szCs w:val="24"/>
        </w:rPr>
        <w:t xml:space="preserve"> &amp; </w:t>
      </w:r>
      <w:proofErr w:type="spellStart"/>
      <w:r w:rsidRPr="00212DDD">
        <w:rPr>
          <w:rFonts w:ascii="Times New Roman" w:hAnsi="Times New Roman" w:cs="Times New Roman"/>
          <w:sz w:val="24"/>
          <w:szCs w:val="24"/>
        </w:rPr>
        <w:t>Murgu</w:t>
      </w:r>
      <w:proofErr w:type="spellEnd"/>
      <w:r w:rsidRPr="00212DDD">
        <w:rPr>
          <w:rFonts w:ascii="Times New Roman" w:hAnsi="Times New Roman" w:cs="Times New Roman"/>
          <w:sz w:val="24"/>
          <w:szCs w:val="24"/>
        </w:rPr>
        <w:t>, 2020). FDI is seen as promoting democracy, but skeptics highlight its influence on policy autonomy (</w:t>
      </w:r>
      <w:proofErr w:type="spellStart"/>
      <w:r w:rsidRPr="00212DDD">
        <w:rPr>
          <w:rFonts w:ascii="Times New Roman" w:hAnsi="Times New Roman" w:cs="Times New Roman"/>
          <w:sz w:val="24"/>
          <w:szCs w:val="24"/>
        </w:rPr>
        <w:t>Fosu</w:t>
      </w:r>
      <w:proofErr w:type="spellEnd"/>
      <w:r w:rsidRPr="00212DDD">
        <w:rPr>
          <w:rFonts w:ascii="Times New Roman" w:hAnsi="Times New Roman" w:cs="Times New Roman"/>
          <w:sz w:val="24"/>
          <w:szCs w:val="24"/>
        </w:rPr>
        <w:t>, 2018). Scientifically, FDI statistics indicate both positive and negative impacts, emphasizing the need for strategic policies. Africa faces the challenge of navigating FDI to align with sustainable development goals, ensuring equitable benefits for food security, renewable energy adoption, and democratic governance</w:t>
      </w:r>
    </w:p>
    <w:p w14:paraId="05BB6BED" w14:textId="77777777" w:rsidR="00B75AF0" w:rsidRPr="00B75AF0" w:rsidRDefault="00B75AF0" w:rsidP="00212DDD">
      <w:pPr>
        <w:jc w:val="both"/>
        <w:rPr>
          <w:rFonts w:ascii="Times New Roman" w:hAnsi="Times New Roman" w:cs="Times New Roman"/>
          <w:sz w:val="12"/>
          <w:szCs w:val="24"/>
        </w:rPr>
      </w:pPr>
    </w:p>
    <w:p w14:paraId="32CCDE7F" w14:textId="68BF36DD" w:rsidR="00B75AF0" w:rsidRDefault="00CD4C0A" w:rsidP="00212DDD">
      <w:pPr>
        <w:jc w:val="both"/>
        <w:rPr>
          <w:rFonts w:ascii="Times New Roman" w:hAnsi="Times New Roman" w:cs="Times New Roman"/>
          <w:sz w:val="24"/>
          <w:szCs w:val="24"/>
        </w:rPr>
      </w:pPr>
      <w:r w:rsidRPr="00212DDD">
        <w:rPr>
          <w:rFonts w:ascii="Times New Roman" w:hAnsi="Times New Roman" w:cs="Times New Roman"/>
          <w:sz w:val="24"/>
          <w:szCs w:val="24"/>
        </w:rPr>
        <w:t>The ease of doing business is often advocated for its potential benefits in diversifying food sources and fostering economic growth, which can, in turn, improve food security and support the transition to renewable energy (</w:t>
      </w:r>
      <w:proofErr w:type="spellStart"/>
      <w:r w:rsidRPr="00212DDD">
        <w:rPr>
          <w:rFonts w:ascii="Times New Roman" w:hAnsi="Times New Roman" w:cs="Times New Roman"/>
          <w:sz w:val="24"/>
          <w:szCs w:val="24"/>
        </w:rPr>
        <w:t>Asongu</w:t>
      </w:r>
      <w:proofErr w:type="spellEnd"/>
      <w:r w:rsidRPr="00212DDD">
        <w:rPr>
          <w:rFonts w:ascii="Times New Roman" w:hAnsi="Times New Roman" w:cs="Times New Roman"/>
          <w:sz w:val="24"/>
          <w:szCs w:val="24"/>
        </w:rPr>
        <w:t xml:space="preserve"> &amp; </w:t>
      </w:r>
      <w:proofErr w:type="spellStart"/>
      <w:r w:rsidRPr="00212DDD">
        <w:rPr>
          <w:rFonts w:ascii="Times New Roman" w:hAnsi="Times New Roman" w:cs="Times New Roman"/>
          <w:sz w:val="24"/>
          <w:szCs w:val="24"/>
        </w:rPr>
        <w:t>Odhiambo</w:t>
      </w:r>
      <w:proofErr w:type="spellEnd"/>
      <w:r w:rsidRPr="00212DDD">
        <w:rPr>
          <w:rFonts w:ascii="Times New Roman" w:hAnsi="Times New Roman" w:cs="Times New Roman"/>
          <w:sz w:val="24"/>
          <w:szCs w:val="24"/>
        </w:rPr>
        <w:t xml:space="preserve">, 2018; </w:t>
      </w:r>
      <w:proofErr w:type="spellStart"/>
      <w:r w:rsidRPr="00212DDD">
        <w:rPr>
          <w:rFonts w:ascii="Times New Roman" w:hAnsi="Times New Roman" w:cs="Times New Roman"/>
          <w:sz w:val="24"/>
          <w:szCs w:val="24"/>
        </w:rPr>
        <w:t>Bonuedi</w:t>
      </w:r>
      <w:proofErr w:type="spellEnd"/>
      <w:r w:rsidRPr="00212DDD">
        <w:rPr>
          <w:rFonts w:ascii="Times New Roman" w:hAnsi="Times New Roman" w:cs="Times New Roman"/>
          <w:sz w:val="24"/>
          <w:szCs w:val="24"/>
        </w:rPr>
        <w:t xml:space="preserve"> et al., 2020). However, the vulnerability to global market fluctuations and unequal distribution of benefits, potentially exacerbating food insecurity (</w:t>
      </w:r>
      <w:proofErr w:type="spellStart"/>
      <w:r w:rsidRPr="00212DDD">
        <w:rPr>
          <w:rFonts w:ascii="Times New Roman" w:hAnsi="Times New Roman" w:cs="Times New Roman"/>
          <w:sz w:val="24"/>
          <w:szCs w:val="24"/>
        </w:rPr>
        <w:t>Asongu</w:t>
      </w:r>
      <w:proofErr w:type="spellEnd"/>
      <w:r w:rsidRPr="00212DDD">
        <w:rPr>
          <w:rFonts w:ascii="Times New Roman" w:hAnsi="Times New Roman" w:cs="Times New Roman"/>
          <w:sz w:val="24"/>
          <w:szCs w:val="24"/>
        </w:rPr>
        <w:t xml:space="preserve"> &amp; </w:t>
      </w:r>
      <w:proofErr w:type="spellStart"/>
      <w:r w:rsidRPr="00212DDD">
        <w:rPr>
          <w:rFonts w:ascii="Times New Roman" w:hAnsi="Times New Roman" w:cs="Times New Roman"/>
          <w:sz w:val="24"/>
          <w:szCs w:val="24"/>
        </w:rPr>
        <w:t>Odhiambo</w:t>
      </w:r>
      <w:proofErr w:type="spellEnd"/>
      <w:r w:rsidRPr="00212DDD">
        <w:rPr>
          <w:rFonts w:ascii="Times New Roman" w:hAnsi="Times New Roman" w:cs="Times New Roman"/>
          <w:sz w:val="24"/>
          <w:szCs w:val="24"/>
        </w:rPr>
        <w:t>, 2018). Trade openness, although aligning with democratic principles, faces criticism for potential exploitation and policy challenges (</w:t>
      </w:r>
      <w:proofErr w:type="spellStart"/>
      <w:r w:rsidRPr="00212DDD">
        <w:rPr>
          <w:rFonts w:ascii="Times New Roman" w:hAnsi="Times New Roman" w:cs="Times New Roman"/>
          <w:sz w:val="24"/>
          <w:szCs w:val="24"/>
        </w:rPr>
        <w:t>Asongu</w:t>
      </w:r>
      <w:proofErr w:type="spellEnd"/>
      <w:r w:rsidRPr="00212DDD">
        <w:rPr>
          <w:rFonts w:ascii="Times New Roman" w:hAnsi="Times New Roman" w:cs="Times New Roman"/>
          <w:sz w:val="24"/>
          <w:szCs w:val="24"/>
        </w:rPr>
        <w:t xml:space="preserve"> &amp; </w:t>
      </w:r>
      <w:proofErr w:type="spellStart"/>
      <w:r w:rsidRPr="00212DDD">
        <w:rPr>
          <w:rFonts w:ascii="Times New Roman" w:hAnsi="Times New Roman" w:cs="Times New Roman"/>
          <w:sz w:val="24"/>
          <w:szCs w:val="24"/>
        </w:rPr>
        <w:t>Odhiambo</w:t>
      </w:r>
      <w:proofErr w:type="spellEnd"/>
      <w:r w:rsidRPr="00212DDD">
        <w:rPr>
          <w:rFonts w:ascii="Times New Roman" w:hAnsi="Times New Roman" w:cs="Times New Roman"/>
          <w:sz w:val="24"/>
          <w:szCs w:val="24"/>
        </w:rPr>
        <w:t xml:space="preserve">, 2018). </w:t>
      </w:r>
      <w:r w:rsidR="00FE03B2" w:rsidRPr="00212DDD">
        <w:rPr>
          <w:rFonts w:ascii="Times New Roman" w:hAnsi="Times New Roman" w:cs="Times New Roman"/>
          <w:sz w:val="24"/>
          <w:szCs w:val="24"/>
        </w:rPr>
        <w:t xml:space="preserve">Trade </w:t>
      </w:r>
      <w:r w:rsidRPr="00212DDD">
        <w:rPr>
          <w:rFonts w:ascii="Times New Roman" w:hAnsi="Times New Roman" w:cs="Times New Roman"/>
          <w:sz w:val="24"/>
          <w:szCs w:val="24"/>
        </w:rPr>
        <w:t>statistics reveals both positive and negative impacts, necessitating nuanced strategies to optimize trade openness in Africa (</w:t>
      </w:r>
      <w:proofErr w:type="spellStart"/>
      <w:r w:rsidRPr="00212DDD">
        <w:rPr>
          <w:rFonts w:ascii="Times New Roman" w:hAnsi="Times New Roman" w:cs="Times New Roman"/>
          <w:sz w:val="24"/>
          <w:szCs w:val="24"/>
        </w:rPr>
        <w:t>Asongu</w:t>
      </w:r>
      <w:proofErr w:type="spellEnd"/>
      <w:r w:rsidRPr="00212DDD">
        <w:rPr>
          <w:rFonts w:ascii="Times New Roman" w:hAnsi="Times New Roman" w:cs="Times New Roman"/>
          <w:sz w:val="24"/>
          <w:szCs w:val="24"/>
        </w:rPr>
        <w:t xml:space="preserve"> &amp; </w:t>
      </w:r>
      <w:proofErr w:type="spellStart"/>
      <w:r w:rsidRPr="00212DDD">
        <w:rPr>
          <w:rFonts w:ascii="Times New Roman" w:hAnsi="Times New Roman" w:cs="Times New Roman"/>
          <w:sz w:val="24"/>
          <w:szCs w:val="24"/>
        </w:rPr>
        <w:t>Odhiambo</w:t>
      </w:r>
      <w:proofErr w:type="spellEnd"/>
      <w:r w:rsidRPr="00212DDD">
        <w:rPr>
          <w:rFonts w:ascii="Times New Roman" w:hAnsi="Times New Roman" w:cs="Times New Roman"/>
          <w:sz w:val="24"/>
          <w:szCs w:val="24"/>
        </w:rPr>
        <w:t xml:space="preserve">, 2018). </w:t>
      </w:r>
    </w:p>
    <w:p w14:paraId="73D3CBAC" w14:textId="77777777" w:rsidR="00B75AF0" w:rsidRPr="00B75AF0" w:rsidRDefault="00B75AF0" w:rsidP="00212DDD">
      <w:pPr>
        <w:jc w:val="both"/>
        <w:rPr>
          <w:rFonts w:ascii="Times New Roman" w:hAnsi="Times New Roman" w:cs="Times New Roman"/>
          <w:sz w:val="16"/>
          <w:szCs w:val="24"/>
        </w:rPr>
      </w:pPr>
    </w:p>
    <w:p w14:paraId="00000031" w14:textId="788079F6" w:rsidR="00BA7DAA" w:rsidRPr="00212DDD" w:rsidRDefault="00CD4C0A" w:rsidP="00212DDD">
      <w:pPr>
        <w:jc w:val="both"/>
        <w:rPr>
          <w:rFonts w:ascii="Times New Roman" w:hAnsi="Times New Roman" w:cs="Times New Roman"/>
          <w:sz w:val="24"/>
          <w:szCs w:val="24"/>
        </w:rPr>
      </w:pPr>
      <w:r w:rsidRPr="00212DDD">
        <w:rPr>
          <w:rFonts w:ascii="Times New Roman" w:hAnsi="Times New Roman" w:cs="Times New Roman"/>
          <w:sz w:val="24"/>
          <w:szCs w:val="24"/>
        </w:rPr>
        <w:t>Africa, in particular, grapples with the challenge of optimizing trade openness to balance economic growth, resource allocation, food security, renewable energy transition, democratic governance, and transparency of bureaucratic processes for comprehensive development (</w:t>
      </w:r>
      <w:proofErr w:type="spellStart"/>
      <w:r w:rsidRPr="00212DDD">
        <w:rPr>
          <w:rFonts w:ascii="Times New Roman" w:hAnsi="Times New Roman" w:cs="Times New Roman"/>
          <w:sz w:val="24"/>
          <w:szCs w:val="24"/>
        </w:rPr>
        <w:t>Asongu</w:t>
      </w:r>
      <w:proofErr w:type="spellEnd"/>
      <w:r w:rsidRPr="00212DDD">
        <w:rPr>
          <w:rFonts w:ascii="Times New Roman" w:hAnsi="Times New Roman" w:cs="Times New Roman"/>
          <w:sz w:val="24"/>
          <w:szCs w:val="24"/>
        </w:rPr>
        <w:t xml:space="preserve"> &amp; </w:t>
      </w:r>
      <w:proofErr w:type="spellStart"/>
      <w:r w:rsidRPr="00212DDD">
        <w:rPr>
          <w:rFonts w:ascii="Times New Roman" w:hAnsi="Times New Roman" w:cs="Times New Roman"/>
          <w:sz w:val="24"/>
          <w:szCs w:val="24"/>
        </w:rPr>
        <w:t>Odhiambo</w:t>
      </w:r>
      <w:proofErr w:type="spellEnd"/>
      <w:r w:rsidRPr="00212DDD">
        <w:rPr>
          <w:rFonts w:ascii="Times New Roman" w:hAnsi="Times New Roman" w:cs="Times New Roman"/>
          <w:sz w:val="24"/>
          <w:szCs w:val="24"/>
        </w:rPr>
        <w:t>, 2018). To address food security in Africa, reducing delays in documentation and border compliance is identified as a critical factor (</w:t>
      </w:r>
      <w:proofErr w:type="spellStart"/>
      <w:r w:rsidRPr="00212DDD">
        <w:rPr>
          <w:rFonts w:ascii="Times New Roman" w:hAnsi="Times New Roman" w:cs="Times New Roman"/>
          <w:sz w:val="24"/>
          <w:szCs w:val="24"/>
        </w:rPr>
        <w:t>Bonuedi</w:t>
      </w:r>
      <w:proofErr w:type="spellEnd"/>
      <w:r w:rsidRPr="00212DDD">
        <w:rPr>
          <w:rFonts w:ascii="Times New Roman" w:hAnsi="Times New Roman" w:cs="Times New Roman"/>
          <w:sz w:val="24"/>
          <w:szCs w:val="24"/>
        </w:rPr>
        <w:t xml:space="preserve"> et al., 2020). The study by </w:t>
      </w:r>
      <w:proofErr w:type="spellStart"/>
      <w:r w:rsidRPr="00212DDD">
        <w:rPr>
          <w:rFonts w:ascii="Times New Roman" w:hAnsi="Times New Roman" w:cs="Times New Roman"/>
          <w:sz w:val="24"/>
          <w:szCs w:val="24"/>
        </w:rPr>
        <w:t>Bonuedi</w:t>
      </w:r>
      <w:proofErr w:type="spellEnd"/>
      <w:r w:rsidRPr="00212DDD">
        <w:rPr>
          <w:rFonts w:ascii="Times New Roman" w:hAnsi="Times New Roman" w:cs="Times New Roman"/>
          <w:sz w:val="24"/>
          <w:szCs w:val="24"/>
        </w:rPr>
        <w:t xml:space="preserve"> et al. (2020) indicates that poor trade facilitation is a significant driver of food insecurity in Africa, with reductions in delays promising to be effective trade facilitation reforms to enhance food security. Furthermore, the role of informal food traders in South Africa is highlighted as crucial for ensuring food security and economic growth, but their contributions are undervalued and </w:t>
      </w:r>
      <w:proofErr w:type="spellStart"/>
      <w:r w:rsidRPr="00212DDD">
        <w:rPr>
          <w:rFonts w:ascii="Times New Roman" w:hAnsi="Times New Roman" w:cs="Times New Roman"/>
          <w:sz w:val="24"/>
          <w:szCs w:val="24"/>
        </w:rPr>
        <w:t>undersupported</w:t>
      </w:r>
      <w:proofErr w:type="spellEnd"/>
      <w:r w:rsidRPr="00212DDD">
        <w:rPr>
          <w:rFonts w:ascii="Times New Roman" w:hAnsi="Times New Roman" w:cs="Times New Roman"/>
          <w:sz w:val="24"/>
          <w:szCs w:val="24"/>
        </w:rPr>
        <w:t xml:space="preserve"> by state responses (</w:t>
      </w:r>
      <w:proofErr w:type="spellStart"/>
      <w:r w:rsidRPr="00212DDD">
        <w:rPr>
          <w:rFonts w:ascii="Times New Roman" w:hAnsi="Times New Roman" w:cs="Times New Roman"/>
          <w:sz w:val="24"/>
          <w:szCs w:val="24"/>
        </w:rPr>
        <w:t>Wegerif</w:t>
      </w:r>
      <w:proofErr w:type="spellEnd"/>
      <w:r w:rsidRPr="00212DDD">
        <w:rPr>
          <w:rFonts w:ascii="Times New Roman" w:hAnsi="Times New Roman" w:cs="Times New Roman"/>
          <w:sz w:val="24"/>
          <w:szCs w:val="24"/>
        </w:rPr>
        <w:t>, 2020). This emphasizes the need for a new valuation of the informal sector, recognizing and building on its contributions to society (</w:t>
      </w:r>
      <w:proofErr w:type="spellStart"/>
      <w:r w:rsidRPr="00212DDD">
        <w:rPr>
          <w:rFonts w:ascii="Times New Roman" w:hAnsi="Times New Roman" w:cs="Times New Roman"/>
          <w:sz w:val="24"/>
          <w:szCs w:val="24"/>
        </w:rPr>
        <w:t>Wegerif</w:t>
      </w:r>
      <w:proofErr w:type="spellEnd"/>
      <w:r w:rsidRPr="00212DDD">
        <w:rPr>
          <w:rFonts w:ascii="Times New Roman" w:hAnsi="Times New Roman" w:cs="Times New Roman"/>
          <w:sz w:val="24"/>
          <w:szCs w:val="24"/>
        </w:rPr>
        <w:t>, 2020).</w:t>
      </w:r>
    </w:p>
    <w:p w14:paraId="00000032" w14:textId="77777777" w:rsidR="00BA7DAA" w:rsidRPr="00B75AF0" w:rsidRDefault="00BA7DAA" w:rsidP="00212DDD">
      <w:pPr>
        <w:jc w:val="both"/>
        <w:rPr>
          <w:rFonts w:ascii="Times New Roman" w:hAnsi="Times New Roman" w:cs="Times New Roman"/>
          <w:sz w:val="16"/>
          <w:szCs w:val="24"/>
        </w:rPr>
      </w:pPr>
    </w:p>
    <w:p w14:paraId="00000033" w14:textId="20A22C75" w:rsidR="00BA7DAA" w:rsidRPr="00212DDD" w:rsidRDefault="00CD4C0A" w:rsidP="00212DDD">
      <w:pPr>
        <w:jc w:val="both"/>
        <w:rPr>
          <w:rFonts w:ascii="Times New Roman" w:hAnsi="Times New Roman" w:cs="Times New Roman"/>
          <w:sz w:val="24"/>
          <w:szCs w:val="24"/>
        </w:rPr>
      </w:pPr>
      <w:r w:rsidRPr="00212DDD">
        <w:rPr>
          <w:rFonts w:ascii="Times New Roman" w:hAnsi="Times New Roman" w:cs="Times New Roman"/>
          <w:sz w:val="24"/>
          <w:szCs w:val="24"/>
        </w:rPr>
        <w:t xml:space="preserve">The impacts of climate change, particularly carbon emissions, pose a significant threat to food security in Africa (Becker </w:t>
      </w:r>
      <w:proofErr w:type="spellStart"/>
      <w:r w:rsidRPr="00212DDD">
        <w:rPr>
          <w:rFonts w:ascii="Times New Roman" w:hAnsi="Times New Roman" w:cs="Times New Roman"/>
          <w:sz w:val="24"/>
          <w:szCs w:val="24"/>
        </w:rPr>
        <w:t>Pickson</w:t>
      </w:r>
      <w:proofErr w:type="spellEnd"/>
      <w:r w:rsidRPr="00212DDD">
        <w:rPr>
          <w:rFonts w:ascii="Times New Roman" w:hAnsi="Times New Roman" w:cs="Times New Roman"/>
          <w:sz w:val="24"/>
          <w:szCs w:val="24"/>
        </w:rPr>
        <w:t xml:space="preserve"> &amp; </w:t>
      </w:r>
      <w:proofErr w:type="spellStart"/>
      <w:r w:rsidRPr="00212DDD">
        <w:rPr>
          <w:rFonts w:ascii="Times New Roman" w:hAnsi="Times New Roman" w:cs="Times New Roman"/>
          <w:sz w:val="24"/>
          <w:szCs w:val="24"/>
        </w:rPr>
        <w:t>Boateng</w:t>
      </w:r>
      <w:proofErr w:type="spellEnd"/>
      <w:r w:rsidRPr="00212DDD">
        <w:rPr>
          <w:rFonts w:ascii="Times New Roman" w:hAnsi="Times New Roman" w:cs="Times New Roman"/>
          <w:sz w:val="24"/>
          <w:szCs w:val="24"/>
        </w:rPr>
        <w:t xml:space="preserve">, 2021). </w:t>
      </w:r>
      <w:r w:rsidR="00FE03B2" w:rsidRPr="00212DDD">
        <w:rPr>
          <w:rFonts w:ascii="Times New Roman" w:hAnsi="Times New Roman" w:cs="Times New Roman"/>
          <w:sz w:val="24"/>
          <w:szCs w:val="24"/>
        </w:rPr>
        <w:t xml:space="preserve">Transitioning </w:t>
      </w:r>
      <w:r w:rsidRPr="00212DDD">
        <w:rPr>
          <w:rFonts w:ascii="Times New Roman" w:hAnsi="Times New Roman" w:cs="Times New Roman"/>
          <w:sz w:val="24"/>
          <w:szCs w:val="24"/>
        </w:rPr>
        <w:t xml:space="preserve">to renewable energy can mitigate these impacts and enhance resilience (Becker </w:t>
      </w:r>
      <w:proofErr w:type="spellStart"/>
      <w:r w:rsidRPr="00212DDD">
        <w:rPr>
          <w:rFonts w:ascii="Times New Roman" w:hAnsi="Times New Roman" w:cs="Times New Roman"/>
          <w:sz w:val="24"/>
          <w:szCs w:val="24"/>
        </w:rPr>
        <w:t>Pickson</w:t>
      </w:r>
      <w:proofErr w:type="spellEnd"/>
      <w:r w:rsidRPr="00212DDD">
        <w:rPr>
          <w:rFonts w:ascii="Times New Roman" w:hAnsi="Times New Roman" w:cs="Times New Roman"/>
          <w:sz w:val="24"/>
          <w:szCs w:val="24"/>
        </w:rPr>
        <w:t xml:space="preserve"> &amp; </w:t>
      </w:r>
      <w:proofErr w:type="spellStart"/>
      <w:r w:rsidRPr="00212DDD">
        <w:rPr>
          <w:rFonts w:ascii="Times New Roman" w:hAnsi="Times New Roman" w:cs="Times New Roman"/>
          <w:sz w:val="24"/>
          <w:szCs w:val="24"/>
        </w:rPr>
        <w:t>Boateng</w:t>
      </w:r>
      <w:proofErr w:type="spellEnd"/>
      <w:r w:rsidRPr="00212DDD">
        <w:rPr>
          <w:rFonts w:ascii="Times New Roman" w:hAnsi="Times New Roman" w:cs="Times New Roman"/>
          <w:sz w:val="24"/>
          <w:szCs w:val="24"/>
        </w:rPr>
        <w:t xml:space="preserve">, 2021). However, economic challenges hinder this shift, as highlighted by detractors (Becker </w:t>
      </w:r>
      <w:proofErr w:type="spellStart"/>
      <w:r w:rsidRPr="00212DDD">
        <w:rPr>
          <w:rFonts w:ascii="Times New Roman" w:hAnsi="Times New Roman" w:cs="Times New Roman"/>
          <w:sz w:val="24"/>
          <w:szCs w:val="24"/>
        </w:rPr>
        <w:t>Pickson</w:t>
      </w:r>
      <w:proofErr w:type="spellEnd"/>
      <w:r w:rsidRPr="00212DDD">
        <w:rPr>
          <w:rFonts w:ascii="Times New Roman" w:hAnsi="Times New Roman" w:cs="Times New Roman"/>
          <w:sz w:val="24"/>
          <w:szCs w:val="24"/>
        </w:rPr>
        <w:t xml:space="preserve"> &amp; </w:t>
      </w:r>
      <w:proofErr w:type="spellStart"/>
      <w:r w:rsidRPr="00212DDD">
        <w:rPr>
          <w:rFonts w:ascii="Times New Roman" w:hAnsi="Times New Roman" w:cs="Times New Roman"/>
          <w:sz w:val="24"/>
          <w:szCs w:val="24"/>
        </w:rPr>
        <w:t>Boateng</w:t>
      </w:r>
      <w:proofErr w:type="spellEnd"/>
      <w:r w:rsidRPr="00212DDD">
        <w:rPr>
          <w:rFonts w:ascii="Times New Roman" w:hAnsi="Times New Roman" w:cs="Times New Roman"/>
          <w:sz w:val="24"/>
          <w:szCs w:val="24"/>
        </w:rPr>
        <w:t>, 2021). Africa faces increased vulnerability due to climate change, affecting agriculture (Fusco, 2022). The impact on food security is evident in Northern and Eastern African regions, where climate change negatively influences food security levels (Fusco, 2022). A panel data analysis for the period 2000–2012 revealed adverse effects on food security, emphasizing the need for policy actions to mitigate global warming and reduce economic impacts (Fusco, 2022).</w:t>
      </w:r>
    </w:p>
    <w:p w14:paraId="00000034" w14:textId="77777777" w:rsidR="00BA7DAA" w:rsidRPr="00B75AF0" w:rsidRDefault="00BA7DAA" w:rsidP="00212DDD">
      <w:pPr>
        <w:jc w:val="both"/>
        <w:rPr>
          <w:rFonts w:ascii="Times New Roman" w:hAnsi="Times New Roman" w:cs="Times New Roman"/>
          <w:sz w:val="12"/>
          <w:szCs w:val="24"/>
        </w:rPr>
      </w:pPr>
    </w:p>
    <w:p w14:paraId="00000035" w14:textId="77777777" w:rsidR="00BA7DAA" w:rsidRPr="00212DDD" w:rsidRDefault="00CD4C0A" w:rsidP="00212DDD">
      <w:pPr>
        <w:jc w:val="both"/>
        <w:rPr>
          <w:rFonts w:ascii="Times New Roman" w:hAnsi="Times New Roman" w:cs="Times New Roman"/>
          <w:sz w:val="24"/>
          <w:szCs w:val="24"/>
        </w:rPr>
      </w:pPr>
      <w:r w:rsidRPr="00212DDD">
        <w:rPr>
          <w:rFonts w:ascii="Times New Roman" w:hAnsi="Times New Roman" w:cs="Times New Roman"/>
          <w:sz w:val="24"/>
          <w:szCs w:val="24"/>
        </w:rPr>
        <w:t xml:space="preserve">Furthermore, a population-based study in Central Africa predicts high levels of hunger due to climate change-induced extreme droughts and a rise in mean temperature (Hassan et al., 2023). This study emphasizes the economic and health-related adverse impacts of climate change on food insecurity, childhood malnutrition, mortality, and infectious diseases (Hassan et al., 2023). The role of democracy in facilitating climate-conscious policies is acknowledged, but political instability poses risks (Becker </w:t>
      </w:r>
      <w:proofErr w:type="spellStart"/>
      <w:r w:rsidRPr="00212DDD">
        <w:rPr>
          <w:rFonts w:ascii="Times New Roman" w:hAnsi="Times New Roman" w:cs="Times New Roman"/>
          <w:sz w:val="24"/>
          <w:szCs w:val="24"/>
        </w:rPr>
        <w:t>Pickson</w:t>
      </w:r>
      <w:proofErr w:type="spellEnd"/>
      <w:r w:rsidRPr="00212DDD">
        <w:rPr>
          <w:rFonts w:ascii="Times New Roman" w:hAnsi="Times New Roman" w:cs="Times New Roman"/>
          <w:sz w:val="24"/>
          <w:szCs w:val="24"/>
        </w:rPr>
        <w:t xml:space="preserve"> &amp; </w:t>
      </w:r>
      <w:proofErr w:type="spellStart"/>
      <w:r w:rsidRPr="00212DDD">
        <w:rPr>
          <w:rFonts w:ascii="Times New Roman" w:hAnsi="Times New Roman" w:cs="Times New Roman"/>
          <w:sz w:val="24"/>
          <w:szCs w:val="24"/>
        </w:rPr>
        <w:t>Boateng</w:t>
      </w:r>
      <w:proofErr w:type="spellEnd"/>
      <w:r w:rsidRPr="00212DDD">
        <w:rPr>
          <w:rFonts w:ascii="Times New Roman" w:hAnsi="Times New Roman" w:cs="Times New Roman"/>
          <w:sz w:val="24"/>
          <w:szCs w:val="24"/>
        </w:rPr>
        <w:t xml:space="preserve">, 2021). Effective government spending is crucial in addressing climate change impacts, but resource constraints persist (Becker </w:t>
      </w:r>
      <w:proofErr w:type="spellStart"/>
      <w:r w:rsidRPr="00212DDD">
        <w:rPr>
          <w:rFonts w:ascii="Times New Roman" w:hAnsi="Times New Roman" w:cs="Times New Roman"/>
          <w:sz w:val="24"/>
          <w:szCs w:val="24"/>
        </w:rPr>
        <w:t>Pickson</w:t>
      </w:r>
      <w:proofErr w:type="spellEnd"/>
      <w:r w:rsidRPr="00212DDD">
        <w:rPr>
          <w:rFonts w:ascii="Times New Roman" w:hAnsi="Times New Roman" w:cs="Times New Roman"/>
          <w:sz w:val="24"/>
          <w:szCs w:val="24"/>
        </w:rPr>
        <w:t xml:space="preserve"> &amp; </w:t>
      </w:r>
      <w:proofErr w:type="spellStart"/>
      <w:r w:rsidRPr="00212DDD">
        <w:rPr>
          <w:rFonts w:ascii="Times New Roman" w:hAnsi="Times New Roman" w:cs="Times New Roman"/>
          <w:sz w:val="24"/>
          <w:szCs w:val="24"/>
        </w:rPr>
        <w:t>Boateng</w:t>
      </w:r>
      <w:proofErr w:type="spellEnd"/>
      <w:r w:rsidRPr="00212DDD">
        <w:rPr>
          <w:rFonts w:ascii="Times New Roman" w:hAnsi="Times New Roman" w:cs="Times New Roman"/>
          <w:sz w:val="24"/>
          <w:szCs w:val="24"/>
        </w:rPr>
        <w:t>, 2021). The challenge lies in aligning renewable energy adoption, democratic governance, and government spending to combat climate change's adverse effects on food security and sustainable development in Africa.</w:t>
      </w:r>
    </w:p>
    <w:p w14:paraId="00000036" w14:textId="77777777" w:rsidR="00BA7DAA" w:rsidRPr="00212DDD" w:rsidRDefault="00BA7DAA" w:rsidP="00212DDD">
      <w:pPr>
        <w:jc w:val="both"/>
        <w:rPr>
          <w:rFonts w:ascii="Times New Roman" w:hAnsi="Times New Roman" w:cs="Times New Roman"/>
          <w:sz w:val="24"/>
          <w:szCs w:val="24"/>
        </w:rPr>
      </w:pPr>
    </w:p>
    <w:p w14:paraId="00000037" w14:textId="77777777" w:rsidR="00BA7DAA" w:rsidRPr="00212DDD" w:rsidRDefault="00BA7DAA" w:rsidP="00212DDD">
      <w:pPr>
        <w:jc w:val="both"/>
        <w:rPr>
          <w:rFonts w:ascii="Times New Roman" w:hAnsi="Times New Roman" w:cs="Times New Roman"/>
          <w:sz w:val="24"/>
          <w:szCs w:val="24"/>
        </w:rPr>
      </w:pPr>
    </w:p>
    <w:p w14:paraId="00000038" w14:textId="5F91B4C8" w:rsidR="00BA7DAA" w:rsidRPr="00B75AF0" w:rsidRDefault="00B75AF0" w:rsidP="00212DDD">
      <w:pPr>
        <w:jc w:val="both"/>
        <w:rPr>
          <w:rFonts w:ascii="Times New Roman" w:hAnsi="Times New Roman" w:cs="Times New Roman"/>
          <w:b/>
          <w:sz w:val="24"/>
          <w:szCs w:val="24"/>
        </w:rPr>
      </w:pPr>
      <w:r w:rsidRPr="00B75AF0">
        <w:rPr>
          <w:rFonts w:ascii="Times New Roman" w:hAnsi="Times New Roman" w:cs="Times New Roman"/>
          <w:b/>
          <w:sz w:val="24"/>
          <w:szCs w:val="24"/>
        </w:rPr>
        <w:t xml:space="preserve">2.1 </w:t>
      </w:r>
      <w:r w:rsidR="00CD4C0A" w:rsidRPr="00B75AF0">
        <w:rPr>
          <w:rFonts w:ascii="Times New Roman" w:hAnsi="Times New Roman" w:cs="Times New Roman"/>
          <w:b/>
          <w:sz w:val="24"/>
          <w:szCs w:val="24"/>
        </w:rPr>
        <w:t>Conceptual Framework</w:t>
      </w:r>
    </w:p>
    <w:p w14:paraId="0000003D" w14:textId="1C9C4F3B" w:rsidR="00BA7DAA" w:rsidRDefault="00CD4C0A" w:rsidP="00FE03B2">
      <w:pPr>
        <w:jc w:val="both"/>
        <w:rPr>
          <w:rFonts w:ascii="Times New Roman" w:hAnsi="Times New Roman" w:cs="Times New Roman"/>
          <w:sz w:val="24"/>
          <w:szCs w:val="24"/>
        </w:rPr>
      </w:pPr>
      <w:r w:rsidRPr="00FE03B2">
        <w:rPr>
          <w:rFonts w:ascii="Times New Roman" w:hAnsi="Times New Roman" w:cs="Times New Roman"/>
          <w:sz w:val="24"/>
          <w:szCs w:val="24"/>
        </w:rPr>
        <w:t>The intricate interplay among food security, renewable energy transition, democracy, and governance in Africa unveils a complex array of relationships among key factors</w:t>
      </w:r>
      <w:r w:rsidR="00520358" w:rsidRPr="00FE03B2">
        <w:rPr>
          <w:rFonts w:ascii="Times New Roman" w:hAnsi="Times New Roman" w:cs="Times New Roman"/>
          <w:sz w:val="24"/>
          <w:szCs w:val="24"/>
        </w:rPr>
        <w:t xml:space="preserve"> is presented Figure 2.1</w:t>
      </w:r>
      <w:r w:rsidRPr="00FE03B2">
        <w:rPr>
          <w:rFonts w:ascii="Times New Roman" w:hAnsi="Times New Roman" w:cs="Times New Roman"/>
          <w:sz w:val="24"/>
          <w:szCs w:val="24"/>
        </w:rPr>
        <w:t>. Governance indicators such as CPIA Transparency, Accountability, and Corruption in Public Sector Ratings delineate the governance landscape, exerting considerable influence on both food security and the adoption of renewable energy (</w:t>
      </w:r>
      <w:proofErr w:type="spellStart"/>
      <w:r w:rsidR="00520358" w:rsidRPr="00FE03B2">
        <w:rPr>
          <w:rFonts w:ascii="Times New Roman" w:hAnsi="Times New Roman" w:cs="Times New Roman"/>
          <w:sz w:val="24"/>
          <w:szCs w:val="24"/>
        </w:rPr>
        <w:t>Fosu</w:t>
      </w:r>
      <w:proofErr w:type="spellEnd"/>
      <w:r w:rsidR="00520358" w:rsidRPr="00FE03B2">
        <w:rPr>
          <w:rFonts w:ascii="Times New Roman" w:hAnsi="Times New Roman" w:cs="Times New Roman"/>
          <w:sz w:val="24"/>
          <w:szCs w:val="24"/>
        </w:rPr>
        <w:t xml:space="preserve">, 2018; </w:t>
      </w:r>
      <w:proofErr w:type="spellStart"/>
      <w:r w:rsidRPr="00FE03B2">
        <w:rPr>
          <w:rFonts w:ascii="Times New Roman" w:hAnsi="Times New Roman" w:cs="Times New Roman"/>
          <w:sz w:val="24"/>
          <w:szCs w:val="24"/>
        </w:rPr>
        <w:t>Ogunniyi</w:t>
      </w:r>
      <w:proofErr w:type="spellEnd"/>
      <w:r w:rsidRPr="00FE03B2">
        <w:rPr>
          <w:rFonts w:ascii="Times New Roman" w:hAnsi="Times New Roman" w:cs="Times New Roman"/>
          <w:sz w:val="24"/>
          <w:szCs w:val="24"/>
        </w:rPr>
        <w:t xml:space="preserve"> et al., 2020). Higher CPIA ratings may signal robust governance frameworks, potentially facilitating improved food provision and a smoother shift to renewable energy sources. Conversely, lower ratings might impede progress in these domains due to issues like mismanagement or corruption.</w:t>
      </w:r>
    </w:p>
    <w:p w14:paraId="339857D6" w14:textId="77777777" w:rsidR="00FE03B2" w:rsidRPr="00FE03B2" w:rsidRDefault="00FE03B2" w:rsidP="00FE03B2">
      <w:pPr>
        <w:jc w:val="both"/>
        <w:rPr>
          <w:rFonts w:ascii="Times New Roman" w:hAnsi="Times New Roman" w:cs="Times New Roman"/>
          <w:sz w:val="10"/>
          <w:szCs w:val="24"/>
        </w:rPr>
      </w:pPr>
    </w:p>
    <w:p w14:paraId="0000003E" w14:textId="77777777" w:rsidR="00BA7DAA" w:rsidRPr="00FE03B2" w:rsidRDefault="00CD4C0A" w:rsidP="00FE03B2">
      <w:pPr>
        <w:jc w:val="both"/>
        <w:rPr>
          <w:rFonts w:ascii="Times New Roman" w:hAnsi="Times New Roman" w:cs="Times New Roman"/>
          <w:sz w:val="24"/>
          <w:szCs w:val="24"/>
        </w:rPr>
      </w:pPr>
      <w:r w:rsidRPr="00FE03B2">
        <w:rPr>
          <w:rFonts w:ascii="Times New Roman" w:hAnsi="Times New Roman" w:cs="Times New Roman"/>
          <w:sz w:val="24"/>
          <w:szCs w:val="24"/>
        </w:rPr>
        <w:t>The Ease of Doing Business Score shapes investment climates, thereby impacting the inflow of Foreign Direct Investment (FDI) and, subsequently, economic stability and food security (</w:t>
      </w:r>
      <w:proofErr w:type="spellStart"/>
      <w:r w:rsidRPr="00FE03B2">
        <w:rPr>
          <w:rFonts w:ascii="Times New Roman" w:hAnsi="Times New Roman" w:cs="Times New Roman"/>
          <w:sz w:val="24"/>
          <w:szCs w:val="24"/>
        </w:rPr>
        <w:t>Asongu</w:t>
      </w:r>
      <w:proofErr w:type="spellEnd"/>
      <w:r w:rsidRPr="00FE03B2">
        <w:rPr>
          <w:rFonts w:ascii="Times New Roman" w:hAnsi="Times New Roman" w:cs="Times New Roman"/>
          <w:sz w:val="24"/>
          <w:szCs w:val="24"/>
        </w:rPr>
        <w:t xml:space="preserve"> &amp; </w:t>
      </w:r>
      <w:proofErr w:type="spellStart"/>
      <w:r w:rsidRPr="00FE03B2">
        <w:rPr>
          <w:rFonts w:ascii="Times New Roman" w:hAnsi="Times New Roman" w:cs="Times New Roman"/>
          <w:sz w:val="24"/>
          <w:szCs w:val="24"/>
        </w:rPr>
        <w:t>Odhiambo</w:t>
      </w:r>
      <w:proofErr w:type="spellEnd"/>
      <w:r w:rsidRPr="00FE03B2">
        <w:rPr>
          <w:rFonts w:ascii="Times New Roman" w:hAnsi="Times New Roman" w:cs="Times New Roman"/>
          <w:sz w:val="24"/>
          <w:szCs w:val="24"/>
        </w:rPr>
        <w:t>, 2018). Furthermore, levels of FDI may align with the expansion of renewable energy infrastructure, contributing to energy security. Temperature fluctuations, driven by global environmental dynamics, directly impact agricultural output, thereby influencing food security.</w:t>
      </w:r>
    </w:p>
    <w:p w14:paraId="0000003F" w14:textId="77777777" w:rsidR="00BA7DAA" w:rsidRPr="00FE03B2" w:rsidRDefault="00BA7DAA" w:rsidP="00FE03B2">
      <w:pPr>
        <w:jc w:val="both"/>
        <w:rPr>
          <w:rFonts w:ascii="Times New Roman" w:hAnsi="Times New Roman" w:cs="Times New Roman"/>
          <w:sz w:val="24"/>
          <w:szCs w:val="24"/>
        </w:rPr>
      </w:pPr>
    </w:p>
    <w:p w14:paraId="00000040" w14:textId="6C1FAF17" w:rsidR="00BA7DAA" w:rsidRPr="00FE03B2" w:rsidRDefault="00CD4C0A" w:rsidP="00FE03B2">
      <w:pPr>
        <w:jc w:val="both"/>
        <w:rPr>
          <w:rFonts w:ascii="Times New Roman" w:hAnsi="Times New Roman" w:cs="Times New Roman"/>
          <w:sz w:val="24"/>
          <w:szCs w:val="24"/>
        </w:rPr>
      </w:pPr>
      <w:r w:rsidRPr="00FE03B2">
        <w:rPr>
          <w:rFonts w:ascii="Times New Roman" w:hAnsi="Times New Roman" w:cs="Times New Roman"/>
          <w:sz w:val="24"/>
          <w:szCs w:val="24"/>
        </w:rPr>
        <w:t xml:space="preserve">Electoral democracy, a gauge of political stability and citizen engagement, can </w:t>
      </w:r>
      <w:r w:rsidR="009E1B63" w:rsidRPr="00FE03B2">
        <w:rPr>
          <w:rFonts w:ascii="Times New Roman" w:hAnsi="Times New Roman" w:cs="Times New Roman"/>
          <w:sz w:val="24"/>
          <w:szCs w:val="24"/>
        </w:rPr>
        <w:t>mould</w:t>
      </w:r>
      <w:r w:rsidRPr="00FE03B2">
        <w:rPr>
          <w:rFonts w:ascii="Times New Roman" w:hAnsi="Times New Roman" w:cs="Times New Roman"/>
          <w:sz w:val="24"/>
          <w:szCs w:val="24"/>
        </w:rPr>
        <w:t xml:space="preserve"> governance efficacy and policy choices pertaining to food security and renewable energy </w:t>
      </w:r>
      <w:r w:rsidR="009E1B63" w:rsidRPr="00FE03B2">
        <w:rPr>
          <w:rFonts w:ascii="Times New Roman" w:hAnsi="Times New Roman" w:cs="Times New Roman"/>
          <w:sz w:val="24"/>
          <w:szCs w:val="24"/>
        </w:rPr>
        <w:t>endeavours</w:t>
      </w:r>
      <w:r w:rsidRPr="00FE03B2">
        <w:rPr>
          <w:rFonts w:ascii="Times New Roman" w:hAnsi="Times New Roman" w:cs="Times New Roman"/>
          <w:sz w:val="24"/>
          <w:szCs w:val="24"/>
        </w:rPr>
        <w:t xml:space="preserve"> (</w:t>
      </w:r>
      <w:proofErr w:type="spellStart"/>
      <w:r w:rsidRPr="00FE03B2">
        <w:rPr>
          <w:rFonts w:ascii="Times New Roman" w:hAnsi="Times New Roman" w:cs="Times New Roman"/>
          <w:sz w:val="24"/>
          <w:szCs w:val="24"/>
        </w:rPr>
        <w:t>Hemed</w:t>
      </w:r>
      <w:proofErr w:type="spellEnd"/>
      <w:r w:rsidRPr="00FE03B2">
        <w:rPr>
          <w:rFonts w:ascii="Times New Roman" w:hAnsi="Times New Roman" w:cs="Times New Roman"/>
          <w:sz w:val="24"/>
          <w:szCs w:val="24"/>
        </w:rPr>
        <w:t>, 2019). Moreover, the proportion of electricity generated from renewable sources mirrors a nation's dedication to sustainable energy practices, influenced by governance frameworks and public demand.</w:t>
      </w:r>
    </w:p>
    <w:p w14:paraId="00000041" w14:textId="77777777" w:rsidR="00BA7DAA" w:rsidRPr="00FE03B2" w:rsidRDefault="00BA7DAA" w:rsidP="00FE03B2">
      <w:pPr>
        <w:jc w:val="both"/>
        <w:rPr>
          <w:rFonts w:ascii="Times New Roman" w:hAnsi="Times New Roman" w:cs="Times New Roman"/>
          <w:sz w:val="16"/>
          <w:szCs w:val="24"/>
        </w:rPr>
      </w:pPr>
    </w:p>
    <w:p w14:paraId="00000042" w14:textId="77777777" w:rsidR="00BA7DAA" w:rsidRPr="00212DDD" w:rsidRDefault="00CD4C0A" w:rsidP="00FE03B2">
      <w:pPr>
        <w:jc w:val="both"/>
      </w:pPr>
      <w:r w:rsidRPr="00FE03B2">
        <w:rPr>
          <w:rFonts w:ascii="Times New Roman" w:hAnsi="Times New Roman" w:cs="Times New Roman"/>
          <w:sz w:val="24"/>
          <w:szCs w:val="24"/>
        </w:rPr>
        <w:t>The interconnectedness of these variables underscores the multifaceted challenges and opportunities confronting African nations. Grasping these intricate dynamics is essential for formulating policies that foster sustainability, resilience, and fair development across the region</w:t>
      </w:r>
      <w:r w:rsidRPr="00212DDD">
        <w:t>.</w:t>
      </w:r>
    </w:p>
    <w:p w14:paraId="00000043" w14:textId="77777777" w:rsidR="00BA7DAA" w:rsidRPr="00212DDD" w:rsidRDefault="00BA7DAA" w:rsidP="00212DDD">
      <w:pPr>
        <w:jc w:val="both"/>
        <w:rPr>
          <w:rFonts w:ascii="Times New Roman" w:eastAsia="Roboto" w:hAnsi="Times New Roman" w:cs="Times New Roman"/>
          <w:color w:val="374151"/>
          <w:sz w:val="24"/>
          <w:szCs w:val="24"/>
        </w:rPr>
      </w:pPr>
    </w:p>
    <w:p w14:paraId="39AE8D12" w14:textId="77777777" w:rsidR="00520358" w:rsidRPr="00212DDD" w:rsidRDefault="00520358" w:rsidP="00212DDD">
      <w:pPr>
        <w:jc w:val="both"/>
        <w:rPr>
          <w:rFonts w:ascii="Times New Roman" w:eastAsia="Roboto" w:hAnsi="Times New Roman" w:cs="Times New Roman"/>
          <w:color w:val="374151"/>
          <w:sz w:val="24"/>
          <w:szCs w:val="24"/>
        </w:rPr>
      </w:pPr>
    </w:p>
    <w:p w14:paraId="7866B86A" w14:textId="77777777" w:rsidR="00520358" w:rsidRPr="00212DDD" w:rsidRDefault="00520358" w:rsidP="00212DDD">
      <w:pPr>
        <w:jc w:val="both"/>
        <w:rPr>
          <w:rFonts w:ascii="Times New Roman" w:eastAsia="Roboto" w:hAnsi="Times New Roman" w:cs="Times New Roman"/>
          <w:color w:val="374151"/>
          <w:sz w:val="24"/>
          <w:szCs w:val="24"/>
        </w:rPr>
      </w:pPr>
    </w:p>
    <w:p w14:paraId="17BDA249" w14:textId="61079406" w:rsidR="00520358" w:rsidRPr="00212DDD" w:rsidRDefault="00520358" w:rsidP="00212DDD">
      <w:pPr>
        <w:jc w:val="both"/>
        <w:rPr>
          <w:rFonts w:ascii="Times New Roman" w:eastAsia="Roboto" w:hAnsi="Times New Roman" w:cs="Times New Roman"/>
          <w:color w:val="374151"/>
          <w:sz w:val="24"/>
          <w:szCs w:val="24"/>
        </w:rPr>
      </w:pPr>
      <w:r w:rsidRPr="00212DDD">
        <w:rPr>
          <w:rFonts w:ascii="Times New Roman" w:hAnsi="Times New Roman" w:cs="Times New Roman"/>
          <w:noProof/>
          <w:sz w:val="24"/>
          <w:szCs w:val="24"/>
        </w:rPr>
        <w:drawing>
          <wp:inline distT="0" distB="0" distL="0" distR="0" wp14:anchorId="7AC68B49" wp14:editId="1F3DFB3D">
            <wp:extent cx="5913783" cy="2484782"/>
            <wp:effectExtent l="0" t="0" r="0" b="0"/>
            <wp:docPr id="1" name="Picture 1" descr="C:\Users\RENET\Downloads\Conceptual Framework on Food Security, Renewable Energy Transition, Democracy, and Governance in Afr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ET\Downloads\Conceptual Framework on Food Security, Renewable Energy Transition, Democracy, and Governance in Africa.png"/>
                    <pic:cNvPicPr>
                      <a:picLocks noChangeAspect="1" noChangeArrowheads="1"/>
                    </pic:cNvPicPr>
                  </pic:nvPicPr>
                  <pic:blipFill rotWithShape="1">
                    <a:blip r:embed="rId7">
                      <a:extLst>
                        <a:ext uri="{28A0092B-C50C-407E-A947-70E740481C1C}">
                          <a14:useLocalDpi xmlns:a14="http://schemas.microsoft.com/office/drawing/2010/main" val="0"/>
                        </a:ext>
                      </a:extLst>
                    </a:blip>
                    <a:srcRect t="5050" b="7486"/>
                    <a:stretch/>
                  </pic:blipFill>
                  <pic:spPr bwMode="auto">
                    <a:xfrm>
                      <a:off x="0" y="0"/>
                      <a:ext cx="5910313" cy="2483324"/>
                    </a:xfrm>
                    <a:prstGeom prst="rect">
                      <a:avLst/>
                    </a:prstGeom>
                    <a:noFill/>
                    <a:ln>
                      <a:noFill/>
                    </a:ln>
                    <a:extLst>
                      <a:ext uri="{53640926-AAD7-44D8-BBD7-CCE9431645EC}">
                        <a14:shadowObscured xmlns:a14="http://schemas.microsoft.com/office/drawing/2010/main"/>
                      </a:ext>
                    </a:extLst>
                  </pic:spPr>
                </pic:pic>
              </a:graphicData>
            </a:graphic>
          </wp:inline>
        </w:drawing>
      </w:r>
    </w:p>
    <w:p w14:paraId="00000046" w14:textId="77777777" w:rsidR="00BA7DAA" w:rsidRPr="00212DDD" w:rsidRDefault="00BA7DAA" w:rsidP="00212DDD">
      <w:pPr>
        <w:jc w:val="both"/>
        <w:rPr>
          <w:rFonts w:ascii="Times New Roman" w:eastAsia="Roboto" w:hAnsi="Times New Roman" w:cs="Times New Roman"/>
          <w:color w:val="374151"/>
          <w:sz w:val="24"/>
          <w:szCs w:val="24"/>
        </w:rPr>
      </w:pPr>
    </w:p>
    <w:p w14:paraId="00000047" w14:textId="4BD2BD52" w:rsidR="00BA7DAA" w:rsidRPr="00212DDD" w:rsidRDefault="00520358" w:rsidP="00212DDD">
      <w:pPr>
        <w:jc w:val="both"/>
        <w:rPr>
          <w:rFonts w:ascii="Times New Roman" w:eastAsia="Roboto" w:hAnsi="Times New Roman" w:cs="Times New Roman"/>
          <w:color w:val="374151"/>
          <w:sz w:val="24"/>
          <w:szCs w:val="24"/>
        </w:rPr>
      </w:pPr>
      <w:r w:rsidRPr="00212DDD">
        <w:rPr>
          <w:rFonts w:ascii="Times New Roman" w:eastAsia="Roboto" w:hAnsi="Times New Roman" w:cs="Times New Roman"/>
          <w:color w:val="374151"/>
          <w:sz w:val="24"/>
          <w:szCs w:val="24"/>
        </w:rPr>
        <w:t>Figure 2.1: Conceptual Framework</w:t>
      </w:r>
    </w:p>
    <w:p w14:paraId="7F85D1E8" w14:textId="7C877CF2" w:rsidR="00520358" w:rsidRPr="00212DDD" w:rsidRDefault="00520358" w:rsidP="00212DDD">
      <w:pPr>
        <w:jc w:val="both"/>
        <w:rPr>
          <w:rFonts w:ascii="Times New Roman" w:eastAsia="Roboto" w:hAnsi="Times New Roman" w:cs="Times New Roman"/>
          <w:color w:val="374151"/>
          <w:sz w:val="24"/>
          <w:szCs w:val="24"/>
        </w:rPr>
      </w:pPr>
      <w:r w:rsidRPr="00212DDD">
        <w:rPr>
          <w:rFonts w:ascii="Times New Roman" w:eastAsia="Roboto" w:hAnsi="Times New Roman" w:cs="Times New Roman"/>
          <w:color w:val="374151"/>
          <w:sz w:val="24"/>
          <w:szCs w:val="24"/>
        </w:rPr>
        <w:t>Source: Developed by the author.</w:t>
      </w:r>
    </w:p>
    <w:p w14:paraId="5246ADD4" w14:textId="77777777" w:rsidR="00520358" w:rsidRPr="00212DDD" w:rsidRDefault="00520358" w:rsidP="00212DDD">
      <w:pPr>
        <w:jc w:val="both"/>
        <w:rPr>
          <w:rFonts w:ascii="Times New Roman" w:eastAsia="Roboto" w:hAnsi="Times New Roman" w:cs="Times New Roman"/>
          <w:color w:val="374151"/>
          <w:sz w:val="24"/>
          <w:szCs w:val="24"/>
        </w:rPr>
      </w:pPr>
    </w:p>
    <w:p w14:paraId="74D1556F" w14:textId="77777777" w:rsidR="00520358" w:rsidRPr="00212DDD" w:rsidRDefault="00520358" w:rsidP="00212DDD">
      <w:pPr>
        <w:jc w:val="both"/>
        <w:rPr>
          <w:rFonts w:ascii="Times New Roman" w:eastAsia="Roboto" w:hAnsi="Times New Roman" w:cs="Times New Roman"/>
          <w:color w:val="374151"/>
          <w:sz w:val="24"/>
          <w:szCs w:val="24"/>
        </w:rPr>
      </w:pPr>
    </w:p>
    <w:p w14:paraId="1DC77764" w14:textId="77777777" w:rsidR="00520358" w:rsidRPr="00212DDD" w:rsidRDefault="00520358" w:rsidP="00212DDD">
      <w:pPr>
        <w:jc w:val="both"/>
        <w:rPr>
          <w:rFonts w:ascii="Times New Roman" w:eastAsia="Roboto" w:hAnsi="Times New Roman" w:cs="Times New Roman"/>
          <w:color w:val="374151"/>
          <w:sz w:val="24"/>
          <w:szCs w:val="24"/>
        </w:rPr>
      </w:pPr>
    </w:p>
    <w:p w14:paraId="00000048" w14:textId="5EA61BF4" w:rsidR="00BA7DAA" w:rsidRPr="00D04125" w:rsidRDefault="00CD4C0A" w:rsidP="00D04125">
      <w:pPr>
        <w:pStyle w:val="ListParagraph"/>
        <w:numPr>
          <w:ilvl w:val="0"/>
          <w:numId w:val="7"/>
        </w:numPr>
        <w:jc w:val="both"/>
        <w:rPr>
          <w:rFonts w:ascii="Times New Roman" w:eastAsia="Roboto" w:hAnsi="Times New Roman" w:cs="Times New Roman"/>
          <w:b/>
          <w:color w:val="374151"/>
          <w:sz w:val="24"/>
          <w:szCs w:val="24"/>
        </w:rPr>
      </w:pPr>
      <w:r w:rsidRPr="00D04125">
        <w:rPr>
          <w:rFonts w:ascii="Times New Roman" w:eastAsia="Roboto" w:hAnsi="Times New Roman" w:cs="Times New Roman"/>
          <w:b/>
          <w:color w:val="374151"/>
          <w:sz w:val="24"/>
          <w:szCs w:val="24"/>
        </w:rPr>
        <w:t>Methodological framework (A panel data analysis)</w:t>
      </w:r>
    </w:p>
    <w:p w14:paraId="00000049" w14:textId="77777777" w:rsidR="00BA7DAA" w:rsidRPr="00212DDD" w:rsidRDefault="00BA7DAA" w:rsidP="00212DDD">
      <w:pPr>
        <w:jc w:val="both"/>
        <w:rPr>
          <w:rFonts w:ascii="Times New Roman" w:eastAsia="Roboto" w:hAnsi="Times New Roman" w:cs="Times New Roman"/>
          <w:color w:val="374151"/>
          <w:sz w:val="24"/>
          <w:szCs w:val="24"/>
        </w:rPr>
      </w:pPr>
    </w:p>
    <w:p w14:paraId="0000004B" w14:textId="0C6F77F9" w:rsidR="00BA7DAA" w:rsidRPr="00212DDD" w:rsidRDefault="009E1B63" w:rsidP="00212DDD">
      <w:pPr>
        <w:jc w:val="both"/>
        <w:rPr>
          <w:rFonts w:ascii="Times New Roman" w:eastAsia="Roboto" w:hAnsi="Times New Roman" w:cs="Times New Roman"/>
          <w:color w:val="374151"/>
          <w:sz w:val="24"/>
          <w:szCs w:val="24"/>
        </w:rPr>
      </w:pPr>
      <w:r w:rsidRPr="009E1B63">
        <w:rPr>
          <w:rFonts w:ascii="Times New Roman" w:eastAsia="Roboto" w:hAnsi="Times New Roman" w:cs="Times New Roman"/>
          <w:color w:val="374151"/>
          <w:sz w:val="24"/>
          <w:szCs w:val="24"/>
        </w:rPr>
        <w:t xml:space="preserve">In our empirical examination, we utilize panel data methodologies incorporating fixed effects to capture latent diversity among </w:t>
      </w:r>
      <w:r w:rsidR="00EE4FD5">
        <w:rPr>
          <w:rFonts w:ascii="Times New Roman" w:eastAsia="Roboto" w:hAnsi="Times New Roman" w:cs="Times New Roman"/>
          <w:color w:val="374151"/>
          <w:sz w:val="24"/>
          <w:szCs w:val="24"/>
        </w:rPr>
        <w:t>countries</w:t>
      </w:r>
      <w:r w:rsidRPr="009E1B63">
        <w:rPr>
          <w:rFonts w:ascii="Times New Roman" w:eastAsia="Roboto" w:hAnsi="Times New Roman" w:cs="Times New Roman"/>
          <w:color w:val="374151"/>
          <w:sz w:val="24"/>
          <w:szCs w:val="24"/>
        </w:rPr>
        <w:t xml:space="preserve"> and temporal intervals (</w:t>
      </w:r>
      <w:proofErr w:type="spellStart"/>
      <w:r w:rsidRPr="009E1B63">
        <w:rPr>
          <w:rFonts w:ascii="Times New Roman" w:eastAsia="Roboto" w:hAnsi="Times New Roman" w:cs="Times New Roman"/>
          <w:color w:val="374151"/>
          <w:sz w:val="24"/>
          <w:szCs w:val="24"/>
        </w:rPr>
        <w:t>Balázsi</w:t>
      </w:r>
      <w:proofErr w:type="spellEnd"/>
      <w:r w:rsidRPr="009E1B63">
        <w:rPr>
          <w:rFonts w:ascii="Times New Roman" w:eastAsia="Roboto" w:hAnsi="Times New Roman" w:cs="Times New Roman"/>
          <w:color w:val="374151"/>
          <w:sz w:val="24"/>
          <w:szCs w:val="24"/>
        </w:rPr>
        <w:t xml:space="preserve">, </w:t>
      </w:r>
      <w:proofErr w:type="spellStart"/>
      <w:r w:rsidRPr="009E1B63">
        <w:rPr>
          <w:rFonts w:ascii="Times New Roman" w:eastAsia="Roboto" w:hAnsi="Times New Roman" w:cs="Times New Roman"/>
          <w:color w:val="374151"/>
          <w:sz w:val="24"/>
          <w:szCs w:val="24"/>
        </w:rPr>
        <w:t>Mátyás</w:t>
      </w:r>
      <w:proofErr w:type="spellEnd"/>
      <w:r w:rsidRPr="009E1B63">
        <w:rPr>
          <w:rFonts w:ascii="Times New Roman" w:eastAsia="Roboto" w:hAnsi="Times New Roman" w:cs="Times New Roman"/>
          <w:color w:val="374151"/>
          <w:sz w:val="24"/>
          <w:szCs w:val="24"/>
        </w:rPr>
        <w:t xml:space="preserve">, &amp; </w:t>
      </w:r>
      <w:proofErr w:type="spellStart"/>
      <w:r w:rsidRPr="009E1B63">
        <w:rPr>
          <w:rFonts w:ascii="Times New Roman" w:eastAsia="Roboto" w:hAnsi="Times New Roman" w:cs="Times New Roman"/>
          <w:color w:val="374151"/>
          <w:sz w:val="24"/>
          <w:szCs w:val="24"/>
        </w:rPr>
        <w:t>Wansbeek</w:t>
      </w:r>
      <w:proofErr w:type="spellEnd"/>
      <w:r w:rsidRPr="009E1B63">
        <w:rPr>
          <w:rFonts w:ascii="Times New Roman" w:eastAsia="Roboto" w:hAnsi="Times New Roman" w:cs="Times New Roman"/>
          <w:color w:val="374151"/>
          <w:sz w:val="24"/>
          <w:szCs w:val="24"/>
        </w:rPr>
        <w:t xml:space="preserve">, 2018). The choice of fixed effects estimation stems from its capacity to </w:t>
      </w:r>
      <w:r w:rsidR="00EE4FD5">
        <w:rPr>
          <w:rFonts w:ascii="Times New Roman" w:eastAsia="Roboto" w:hAnsi="Times New Roman" w:cs="Times New Roman"/>
          <w:color w:val="374151"/>
          <w:sz w:val="24"/>
          <w:szCs w:val="24"/>
        </w:rPr>
        <w:t>give</w:t>
      </w:r>
      <w:r w:rsidRPr="009E1B63">
        <w:rPr>
          <w:rFonts w:ascii="Times New Roman" w:eastAsia="Roboto" w:hAnsi="Times New Roman" w:cs="Times New Roman"/>
          <w:color w:val="374151"/>
          <w:sz w:val="24"/>
          <w:szCs w:val="24"/>
        </w:rPr>
        <w:t xml:space="preserve"> dependable assessments of the </w:t>
      </w:r>
      <w:r w:rsidR="00EE4FD5">
        <w:rPr>
          <w:rFonts w:ascii="Times New Roman" w:eastAsia="Roboto" w:hAnsi="Times New Roman" w:cs="Times New Roman"/>
          <w:color w:val="374151"/>
          <w:sz w:val="24"/>
          <w:szCs w:val="24"/>
        </w:rPr>
        <w:t>relationship</w:t>
      </w:r>
      <w:r w:rsidRPr="009E1B63">
        <w:rPr>
          <w:rFonts w:ascii="Times New Roman" w:eastAsia="Roboto" w:hAnsi="Times New Roman" w:cs="Times New Roman"/>
          <w:color w:val="374151"/>
          <w:sz w:val="24"/>
          <w:szCs w:val="24"/>
        </w:rPr>
        <w:t xml:space="preserve"> </w:t>
      </w:r>
      <w:r w:rsidR="00EE4FD5">
        <w:rPr>
          <w:rFonts w:ascii="Times New Roman" w:eastAsia="Roboto" w:hAnsi="Times New Roman" w:cs="Times New Roman"/>
          <w:color w:val="374151"/>
          <w:sz w:val="24"/>
          <w:szCs w:val="24"/>
        </w:rPr>
        <w:t>between</w:t>
      </w:r>
      <w:r w:rsidRPr="009E1B63">
        <w:rPr>
          <w:rFonts w:ascii="Times New Roman" w:eastAsia="Roboto" w:hAnsi="Times New Roman" w:cs="Times New Roman"/>
          <w:color w:val="374151"/>
          <w:sz w:val="24"/>
          <w:szCs w:val="24"/>
        </w:rPr>
        <w:t xml:space="preserve"> food security, the transition to renewable energy, democracy, and governance in Africa, while considering unobserved effects unique to time and country (Adams et al., 2018; Das, 2019). This approach aids in alleviating bias arising from variables omitted, thereby fortifying the resilience of our analysis (Hill et al., 2020).</w:t>
      </w:r>
    </w:p>
    <w:p w14:paraId="0000004C" w14:textId="77777777" w:rsidR="00BA7DAA" w:rsidRPr="00212DDD" w:rsidRDefault="00CD4C0A" w:rsidP="00212DDD">
      <w:pPr>
        <w:jc w:val="both"/>
        <w:rPr>
          <w:rFonts w:ascii="Times New Roman" w:eastAsia="Roboto" w:hAnsi="Times New Roman" w:cs="Times New Roman"/>
          <w:color w:val="374151"/>
          <w:sz w:val="24"/>
          <w:szCs w:val="24"/>
        </w:rPr>
      </w:pPr>
      <w:r w:rsidRPr="00212DDD">
        <w:rPr>
          <w:rFonts w:ascii="Times New Roman" w:eastAsia="Roboto" w:hAnsi="Times New Roman" w:cs="Times New Roman"/>
          <w:color w:val="374151"/>
          <w:sz w:val="24"/>
          <w:szCs w:val="24"/>
        </w:rPr>
        <w:t xml:space="preserve">To ensure the validity and reliability of our empirical results, we conduct the </w:t>
      </w:r>
      <w:proofErr w:type="spellStart"/>
      <w:r w:rsidRPr="00212DDD">
        <w:rPr>
          <w:rFonts w:ascii="Times New Roman" w:eastAsia="Roboto" w:hAnsi="Times New Roman" w:cs="Times New Roman"/>
          <w:color w:val="374151"/>
          <w:sz w:val="24"/>
          <w:szCs w:val="24"/>
        </w:rPr>
        <w:t>Hausman</w:t>
      </w:r>
      <w:proofErr w:type="spellEnd"/>
      <w:r w:rsidRPr="00212DDD">
        <w:rPr>
          <w:rFonts w:ascii="Times New Roman" w:eastAsia="Roboto" w:hAnsi="Times New Roman" w:cs="Times New Roman"/>
          <w:color w:val="374151"/>
          <w:sz w:val="24"/>
          <w:szCs w:val="24"/>
        </w:rPr>
        <w:t xml:space="preserve"> test to determine the appropriate panel model – fixed effects or random effects (</w:t>
      </w:r>
      <w:proofErr w:type="spellStart"/>
      <w:r w:rsidRPr="00212DDD">
        <w:rPr>
          <w:rFonts w:ascii="Times New Roman" w:eastAsia="Roboto" w:hAnsi="Times New Roman" w:cs="Times New Roman"/>
          <w:color w:val="374151"/>
          <w:sz w:val="24"/>
          <w:szCs w:val="24"/>
        </w:rPr>
        <w:t>Mérel</w:t>
      </w:r>
      <w:proofErr w:type="spellEnd"/>
      <w:r w:rsidRPr="00212DDD">
        <w:rPr>
          <w:rFonts w:ascii="Times New Roman" w:eastAsia="Roboto" w:hAnsi="Times New Roman" w:cs="Times New Roman"/>
          <w:color w:val="374151"/>
          <w:sz w:val="24"/>
          <w:szCs w:val="24"/>
        </w:rPr>
        <w:t xml:space="preserve"> &amp; </w:t>
      </w:r>
      <w:proofErr w:type="spellStart"/>
      <w:r w:rsidRPr="00212DDD">
        <w:rPr>
          <w:rFonts w:ascii="Times New Roman" w:eastAsia="Roboto" w:hAnsi="Times New Roman" w:cs="Times New Roman"/>
          <w:color w:val="374151"/>
          <w:sz w:val="24"/>
          <w:szCs w:val="24"/>
        </w:rPr>
        <w:t>Gammans</w:t>
      </w:r>
      <w:proofErr w:type="spellEnd"/>
      <w:r w:rsidRPr="00212DDD">
        <w:rPr>
          <w:rFonts w:ascii="Times New Roman" w:eastAsia="Roboto" w:hAnsi="Times New Roman" w:cs="Times New Roman"/>
          <w:color w:val="374151"/>
          <w:sz w:val="24"/>
          <w:szCs w:val="24"/>
        </w:rPr>
        <w:t xml:space="preserve">, 2018). The </w:t>
      </w:r>
      <w:proofErr w:type="spellStart"/>
      <w:r w:rsidRPr="00212DDD">
        <w:rPr>
          <w:rFonts w:ascii="Times New Roman" w:eastAsia="Roboto" w:hAnsi="Times New Roman" w:cs="Times New Roman"/>
          <w:color w:val="374151"/>
          <w:sz w:val="24"/>
          <w:szCs w:val="24"/>
        </w:rPr>
        <w:t>Hausman</w:t>
      </w:r>
      <w:proofErr w:type="spellEnd"/>
      <w:r w:rsidRPr="00212DDD">
        <w:rPr>
          <w:rFonts w:ascii="Times New Roman" w:eastAsia="Roboto" w:hAnsi="Times New Roman" w:cs="Times New Roman"/>
          <w:color w:val="374151"/>
          <w:sz w:val="24"/>
          <w:szCs w:val="24"/>
        </w:rPr>
        <w:t xml:space="preserve"> test assists in assessing whether the fixed effects model is more suitable for our analysis, contributing to accurate and valid estimation (Andersen, 2019).</w:t>
      </w:r>
    </w:p>
    <w:p w14:paraId="0000004D" w14:textId="77777777" w:rsidR="00BA7DAA" w:rsidRPr="00D04125" w:rsidRDefault="00BA7DAA" w:rsidP="00212DDD">
      <w:pPr>
        <w:jc w:val="both"/>
        <w:rPr>
          <w:rFonts w:ascii="Times New Roman" w:eastAsia="Roboto" w:hAnsi="Times New Roman" w:cs="Times New Roman"/>
          <w:color w:val="374151"/>
          <w:sz w:val="12"/>
          <w:szCs w:val="24"/>
        </w:rPr>
      </w:pPr>
    </w:p>
    <w:p w14:paraId="0000004E" w14:textId="77777777" w:rsidR="00BA7DAA" w:rsidRPr="00212DDD" w:rsidRDefault="00CD4C0A" w:rsidP="00212DDD">
      <w:pPr>
        <w:jc w:val="both"/>
        <w:rPr>
          <w:rFonts w:ascii="Times New Roman" w:eastAsia="Roboto" w:hAnsi="Times New Roman" w:cs="Times New Roman"/>
          <w:color w:val="374151"/>
          <w:sz w:val="24"/>
          <w:szCs w:val="24"/>
        </w:rPr>
      </w:pPr>
      <w:r w:rsidRPr="00212DDD">
        <w:rPr>
          <w:rFonts w:ascii="Times New Roman" w:eastAsia="Roboto" w:hAnsi="Times New Roman" w:cs="Times New Roman"/>
          <w:color w:val="374151"/>
          <w:sz w:val="24"/>
          <w:szCs w:val="24"/>
        </w:rPr>
        <w:t>The panel data analysis, specifically using fixed effects, is a crucial methodological choice in our study, offering a robust framework to explore the dynamics of research variables over time and across different countries.</w:t>
      </w:r>
    </w:p>
    <w:p w14:paraId="0000004F" w14:textId="77777777" w:rsidR="00BA7DAA" w:rsidRPr="00212DDD" w:rsidRDefault="00BA7DAA" w:rsidP="00212DDD">
      <w:pPr>
        <w:jc w:val="both"/>
        <w:rPr>
          <w:rFonts w:ascii="Times New Roman" w:eastAsia="Roboto" w:hAnsi="Times New Roman" w:cs="Times New Roman"/>
          <w:color w:val="374151"/>
          <w:sz w:val="24"/>
          <w:szCs w:val="24"/>
        </w:rPr>
      </w:pPr>
    </w:p>
    <w:p w14:paraId="00000050" w14:textId="78AC5C34" w:rsidR="00BA7DAA" w:rsidRPr="00D04125" w:rsidRDefault="00D04125" w:rsidP="00212DDD">
      <w:pPr>
        <w:jc w:val="both"/>
        <w:rPr>
          <w:rFonts w:ascii="Times New Roman" w:eastAsia="Roboto" w:hAnsi="Times New Roman" w:cs="Times New Roman"/>
          <w:b/>
          <w:color w:val="374151"/>
          <w:sz w:val="24"/>
          <w:szCs w:val="24"/>
        </w:rPr>
      </w:pPr>
      <w:r w:rsidRPr="00D04125">
        <w:rPr>
          <w:rFonts w:ascii="Times New Roman" w:eastAsia="Roboto" w:hAnsi="Times New Roman" w:cs="Times New Roman"/>
          <w:b/>
          <w:color w:val="374151"/>
          <w:sz w:val="24"/>
          <w:szCs w:val="24"/>
        </w:rPr>
        <w:t xml:space="preserve">3.1 </w:t>
      </w:r>
      <w:r w:rsidR="00CD4C0A" w:rsidRPr="00D04125">
        <w:rPr>
          <w:rFonts w:ascii="Times New Roman" w:eastAsia="Roboto" w:hAnsi="Times New Roman" w:cs="Times New Roman"/>
          <w:b/>
          <w:color w:val="374151"/>
          <w:sz w:val="24"/>
          <w:szCs w:val="24"/>
        </w:rPr>
        <w:t>Theoretical Framework</w:t>
      </w:r>
    </w:p>
    <w:p w14:paraId="00000051" w14:textId="77777777" w:rsidR="00BA7DAA" w:rsidRPr="00212DDD" w:rsidRDefault="00BA7DAA" w:rsidP="00212DDD">
      <w:pPr>
        <w:jc w:val="both"/>
        <w:rPr>
          <w:rFonts w:ascii="Times New Roman" w:eastAsia="Roboto" w:hAnsi="Times New Roman" w:cs="Times New Roman"/>
          <w:color w:val="374151"/>
          <w:sz w:val="24"/>
          <w:szCs w:val="24"/>
        </w:rPr>
      </w:pPr>
    </w:p>
    <w:p w14:paraId="00000052" w14:textId="77777777" w:rsidR="00BA7DAA" w:rsidRPr="00212DDD" w:rsidRDefault="00CD4C0A" w:rsidP="00212DDD">
      <w:pPr>
        <w:jc w:val="both"/>
        <w:rPr>
          <w:rFonts w:ascii="Times New Roman" w:eastAsia="Roboto" w:hAnsi="Times New Roman" w:cs="Times New Roman"/>
          <w:color w:val="374151"/>
          <w:sz w:val="24"/>
          <w:szCs w:val="24"/>
        </w:rPr>
      </w:pPr>
      <w:r w:rsidRPr="00212DDD">
        <w:rPr>
          <w:rFonts w:ascii="Times New Roman" w:eastAsia="Roboto" w:hAnsi="Times New Roman" w:cs="Times New Roman"/>
          <w:color w:val="374151"/>
          <w:sz w:val="24"/>
          <w:szCs w:val="24"/>
        </w:rPr>
        <w:t>The intersection of food security, renewable energy transition, democracy, and governance in Africa represents a complex and interdependent system that requires a critical theoretical framework for comprehensive analysis. This framework draws on key theories and concepts from various disciplines to elucidate the dynamics and relationships shaping these critical aspects.</w:t>
      </w:r>
    </w:p>
    <w:p w14:paraId="00000053" w14:textId="77777777" w:rsidR="00BA7DAA" w:rsidRPr="00D04125" w:rsidRDefault="00BA7DAA" w:rsidP="00212DDD">
      <w:pPr>
        <w:jc w:val="both"/>
        <w:rPr>
          <w:rFonts w:ascii="Times New Roman" w:eastAsia="Roboto" w:hAnsi="Times New Roman" w:cs="Times New Roman"/>
          <w:color w:val="374151"/>
          <w:sz w:val="16"/>
          <w:szCs w:val="24"/>
        </w:rPr>
      </w:pPr>
    </w:p>
    <w:p w14:paraId="00000054" w14:textId="77777777" w:rsidR="00BA7DAA" w:rsidRPr="00212DDD" w:rsidRDefault="00CD4C0A" w:rsidP="00212DDD">
      <w:pPr>
        <w:jc w:val="both"/>
        <w:rPr>
          <w:rFonts w:ascii="Times New Roman" w:eastAsia="Roboto" w:hAnsi="Times New Roman" w:cs="Times New Roman"/>
          <w:color w:val="374151"/>
          <w:sz w:val="24"/>
          <w:szCs w:val="24"/>
        </w:rPr>
      </w:pPr>
      <w:r w:rsidRPr="00212DDD">
        <w:rPr>
          <w:rFonts w:ascii="Times New Roman" w:eastAsia="Roboto" w:hAnsi="Times New Roman" w:cs="Times New Roman"/>
          <w:color w:val="374151"/>
          <w:sz w:val="24"/>
          <w:szCs w:val="24"/>
        </w:rPr>
        <w:t>Political ecology offers a robust theoretical lens for examining the intricate connections between social, political, economic, and environmental factors (Blanton &amp; Kirsch, 2019). This framework posits that environmental issues, such as food security and energy transitions, are not just technical problems but deeply embedded in power structures, political processes, and societal arrangements.</w:t>
      </w:r>
    </w:p>
    <w:p w14:paraId="00000055" w14:textId="77777777" w:rsidR="00BA7DAA" w:rsidRPr="00D04125" w:rsidRDefault="00BA7DAA" w:rsidP="00212DDD">
      <w:pPr>
        <w:jc w:val="both"/>
        <w:rPr>
          <w:rFonts w:ascii="Times New Roman" w:eastAsia="Roboto" w:hAnsi="Times New Roman" w:cs="Times New Roman"/>
          <w:color w:val="374151"/>
          <w:sz w:val="14"/>
          <w:szCs w:val="24"/>
        </w:rPr>
      </w:pPr>
    </w:p>
    <w:p w14:paraId="00000056" w14:textId="77777777" w:rsidR="00BA7DAA" w:rsidRPr="00212DDD" w:rsidRDefault="00CD4C0A" w:rsidP="00212DDD">
      <w:pPr>
        <w:jc w:val="both"/>
        <w:rPr>
          <w:rFonts w:ascii="Times New Roman" w:eastAsia="Roboto" w:hAnsi="Times New Roman" w:cs="Times New Roman"/>
          <w:color w:val="374151"/>
          <w:sz w:val="24"/>
          <w:szCs w:val="24"/>
        </w:rPr>
      </w:pPr>
      <w:r w:rsidRPr="00212DDD">
        <w:rPr>
          <w:rFonts w:ascii="Times New Roman" w:eastAsia="Roboto" w:hAnsi="Times New Roman" w:cs="Times New Roman"/>
          <w:color w:val="374151"/>
          <w:sz w:val="24"/>
          <w:szCs w:val="24"/>
        </w:rPr>
        <w:t xml:space="preserve">Drawing on the work of </w:t>
      </w:r>
      <w:proofErr w:type="spellStart"/>
      <w:r w:rsidRPr="00212DDD">
        <w:rPr>
          <w:rFonts w:ascii="Times New Roman" w:eastAsia="Roboto" w:hAnsi="Times New Roman" w:cs="Times New Roman"/>
          <w:color w:val="374151"/>
          <w:sz w:val="24"/>
          <w:szCs w:val="24"/>
        </w:rPr>
        <w:t>Anser</w:t>
      </w:r>
      <w:proofErr w:type="spellEnd"/>
      <w:r w:rsidRPr="00212DDD">
        <w:rPr>
          <w:rFonts w:ascii="Times New Roman" w:eastAsia="Roboto" w:hAnsi="Times New Roman" w:cs="Times New Roman"/>
          <w:color w:val="374151"/>
          <w:sz w:val="24"/>
          <w:szCs w:val="24"/>
        </w:rPr>
        <w:t xml:space="preserve"> et al. (2021), the impact of ICT adoption and governance on food security in West Africa can be understood through the political ecology lens. The study highlights the role of governance, specifically government effectiveness and anti-corruption measures, in enhancing food security. Political ecology emphasizes how governance structures influence resource distribution, access, and sustainability. In the context of renewable energy transition, the study by </w:t>
      </w:r>
      <w:proofErr w:type="spellStart"/>
      <w:r w:rsidRPr="00212DDD">
        <w:rPr>
          <w:rFonts w:ascii="Times New Roman" w:eastAsia="Roboto" w:hAnsi="Times New Roman" w:cs="Times New Roman"/>
          <w:color w:val="374151"/>
          <w:sz w:val="24"/>
          <w:szCs w:val="24"/>
        </w:rPr>
        <w:t>Zakari</w:t>
      </w:r>
      <w:proofErr w:type="spellEnd"/>
      <w:r w:rsidRPr="00212DDD">
        <w:rPr>
          <w:rFonts w:ascii="Times New Roman" w:eastAsia="Roboto" w:hAnsi="Times New Roman" w:cs="Times New Roman"/>
          <w:color w:val="374151"/>
          <w:sz w:val="24"/>
          <w:szCs w:val="24"/>
        </w:rPr>
        <w:t xml:space="preserve"> et al. (2022) underscores the need for policy focus on achieving energy security. Political ecology allows for an exploration of power dynamics in energy production and distribution, examining how decisions about energy sources are influenced by political and economic interests.</w:t>
      </w:r>
    </w:p>
    <w:p w14:paraId="00000057" w14:textId="77777777" w:rsidR="00BA7DAA" w:rsidRPr="00D04125" w:rsidRDefault="00BA7DAA" w:rsidP="00212DDD">
      <w:pPr>
        <w:jc w:val="both"/>
        <w:rPr>
          <w:rFonts w:ascii="Times New Roman" w:eastAsia="Roboto" w:hAnsi="Times New Roman" w:cs="Times New Roman"/>
          <w:color w:val="374151"/>
          <w:sz w:val="14"/>
          <w:szCs w:val="24"/>
        </w:rPr>
      </w:pPr>
    </w:p>
    <w:p w14:paraId="00000058" w14:textId="77777777" w:rsidR="00BA7DAA" w:rsidRPr="00212DDD" w:rsidRDefault="00CD4C0A" w:rsidP="00212DDD">
      <w:pPr>
        <w:jc w:val="both"/>
        <w:rPr>
          <w:rFonts w:ascii="Times New Roman" w:eastAsia="Roboto" w:hAnsi="Times New Roman" w:cs="Times New Roman"/>
          <w:color w:val="374151"/>
          <w:sz w:val="24"/>
          <w:szCs w:val="24"/>
        </w:rPr>
      </w:pPr>
      <w:proofErr w:type="spellStart"/>
      <w:r w:rsidRPr="00212DDD">
        <w:rPr>
          <w:rFonts w:ascii="Times New Roman" w:eastAsia="Roboto" w:hAnsi="Times New Roman" w:cs="Times New Roman"/>
          <w:color w:val="374151"/>
          <w:sz w:val="24"/>
          <w:szCs w:val="24"/>
        </w:rPr>
        <w:t>Dijkshoorn</w:t>
      </w:r>
      <w:proofErr w:type="spellEnd"/>
      <w:r w:rsidRPr="00212DDD">
        <w:rPr>
          <w:rFonts w:ascii="Times New Roman" w:eastAsia="Roboto" w:hAnsi="Times New Roman" w:cs="Times New Roman"/>
          <w:color w:val="374151"/>
          <w:sz w:val="24"/>
          <w:szCs w:val="24"/>
        </w:rPr>
        <w:t>-Dekker et al.'s (2019) work on the Transition Support System approach for urban food security in Ghana can be analyzed through political ecology. The study emphasizes the integration of decision support tools and stakeholder analyses, revealing the political dimensions in decision-making for future urban food security.</w:t>
      </w:r>
    </w:p>
    <w:p w14:paraId="00000059" w14:textId="77777777" w:rsidR="00BA7DAA" w:rsidRPr="00D04125" w:rsidRDefault="00BA7DAA" w:rsidP="00212DDD">
      <w:pPr>
        <w:jc w:val="both"/>
        <w:rPr>
          <w:rFonts w:ascii="Times New Roman" w:eastAsia="Roboto" w:hAnsi="Times New Roman" w:cs="Times New Roman"/>
          <w:color w:val="374151"/>
          <w:sz w:val="8"/>
          <w:szCs w:val="24"/>
        </w:rPr>
      </w:pPr>
    </w:p>
    <w:p w14:paraId="0000005A" w14:textId="77777777" w:rsidR="00BA7DAA" w:rsidRPr="00212DDD" w:rsidRDefault="00CD4C0A" w:rsidP="00212DDD">
      <w:pPr>
        <w:jc w:val="both"/>
        <w:rPr>
          <w:rFonts w:ascii="Times New Roman" w:eastAsia="Roboto" w:hAnsi="Times New Roman" w:cs="Times New Roman"/>
          <w:color w:val="374151"/>
          <w:sz w:val="24"/>
          <w:szCs w:val="24"/>
        </w:rPr>
      </w:pPr>
      <w:proofErr w:type="spellStart"/>
      <w:r w:rsidRPr="00212DDD">
        <w:rPr>
          <w:rFonts w:ascii="Times New Roman" w:eastAsia="Roboto" w:hAnsi="Times New Roman" w:cs="Times New Roman"/>
          <w:color w:val="374151"/>
          <w:sz w:val="24"/>
          <w:szCs w:val="24"/>
        </w:rPr>
        <w:t>Ogunniyi</w:t>
      </w:r>
      <w:proofErr w:type="spellEnd"/>
      <w:r w:rsidRPr="00212DDD">
        <w:rPr>
          <w:rFonts w:ascii="Times New Roman" w:eastAsia="Roboto" w:hAnsi="Times New Roman" w:cs="Times New Roman"/>
          <w:color w:val="374151"/>
          <w:sz w:val="24"/>
          <w:szCs w:val="24"/>
        </w:rPr>
        <w:t xml:space="preserve"> et al. (2020) explore the positive impact of remittances and improved governance on food security in Sub-Saharan Africa. Political ecology can contribute to understanding how democratic governance structures influence the flow of remittances and their subsequent impact on food and nutrition security.</w:t>
      </w:r>
    </w:p>
    <w:p w14:paraId="0000005B" w14:textId="77777777" w:rsidR="00BA7DAA" w:rsidRPr="00212DDD" w:rsidRDefault="00CD4C0A" w:rsidP="00212DDD">
      <w:pPr>
        <w:jc w:val="both"/>
        <w:rPr>
          <w:rFonts w:ascii="Times New Roman" w:eastAsia="Roboto" w:hAnsi="Times New Roman" w:cs="Times New Roman"/>
          <w:color w:val="374151"/>
          <w:sz w:val="24"/>
          <w:szCs w:val="24"/>
        </w:rPr>
      </w:pPr>
      <w:r w:rsidRPr="00212DDD">
        <w:rPr>
          <w:rFonts w:ascii="Times New Roman" w:eastAsia="Roboto" w:hAnsi="Times New Roman" w:cs="Times New Roman"/>
          <w:color w:val="374151"/>
          <w:sz w:val="24"/>
          <w:szCs w:val="24"/>
        </w:rPr>
        <w:t>Adams et al. (2018) examine the relationship between renewable and non-renewable energy consumption, regime type, and economic growth in Sub-Saharan African countries. Political ecology can aid in scrutinizing the political dimensions of energy policies and their implications for economic growth.</w:t>
      </w:r>
    </w:p>
    <w:p w14:paraId="0000005C" w14:textId="77777777" w:rsidR="00BA7DAA" w:rsidRPr="00D04125" w:rsidRDefault="00BA7DAA" w:rsidP="00212DDD">
      <w:pPr>
        <w:jc w:val="both"/>
        <w:rPr>
          <w:rFonts w:ascii="Times New Roman" w:eastAsia="Roboto" w:hAnsi="Times New Roman" w:cs="Times New Roman"/>
          <w:color w:val="374151"/>
          <w:sz w:val="16"/>
          <w:szCs w:val="24"/>
        </w:rPr>
      </w:pPr>
    </w:p>
    <w:p w14:paraId="0000005D" w14:textId="77777777" w:rsidR="00BA7DAA" w:rsidRPr="00212DDD" w:rsidRDefault="00CD4C0A" w:rsidP="00212DDD">
      <w:pPr>
        <w:jc w:val="both"/>
        <w:rPr>
          <w:rFonts w:ascii="Times New Roman" w:eastAsia="Roboto" w:hAnsi="Times New Roman" w:cs="Times New Roman"/>
          <w:color w:val="374151"/>
          <w:sz w:val="24"/>
          <w:szCs w:val="24"/>
        </w:rPr>
      </w:pPr>
      <w:r w:rsidRPr="00212DDD">
        <w:rPr>
          <w:rFonts w:ascii="Times New Roman" w:eastAsia="Roboto" w:hAnsi="Times New Roman" w:cs="Times New Roman"/>
          <w:color w:val="374151"/>
          <w:sz w:val="24"/>
          <w:szCs w:val="24"/>
        </w:rPr>
        <w:t>Political ecology provides a comprehensive framework for analyzing the complex interactions between food security, renewable energy transition, democracy, and governance in Africa. By focusing on power relations, political processes, and socio-environmental dynamics, this theoretical perspective enhances our understanding of the challenges and opportunities within this multifaceted system.</w:t>
      </w:r>
    </w:p>
    <w:p w14:paraId="0000005E" w14:textId="77777777" w:rsidR="00BA7DAA" w:rsidRPr="00212DDD" w:rsidRDefault="00BA7DAA" w:rsidP="00212DDD">
      <w:pPr>
        <w:jc w:val="both"/>
        <w:rPr>
          <w:rFonts w:ascii="Times New Roman" w:eastAsia="Roboto" w:hAnsi="Times New Roman" w:cs="Times New Roman"/>
          <w:color w:val="374151"/>
          <w:sz w:val="24"/>
          <w:szCs w:val="24"/>
        </w:rPr>
      </w:pPr>
    </w:p>
    <w:p w14:paraId="0000005F" w14:textId="77777777" w:rsidR="00BA7DAA" w:rsidRPr="00212DDD" w:rsidRDefault="00BA7DAA" w:rsidP="00212DDD">
      <w:pPr>
        <w:jc w:val="both"/>
        <w:rPr>
          <w:rFonts w:ascii="Times New Roman" w:eastAsia="Roboto" w:hAnsi="Times New Roman" w:cs="Times New Roman"/>
          <w:color w:val="374151"/>
          <w:sz w:val="24"/>
          <w:szCs w:val="24"/>
        </w:rPr>
      </w:pPr>
    </w:p>
    <w:p w14:paraId="00000060" w14:textId="2C3117C2" w:rsidR="00BA7DAA" w:rsidRPr="00212DDD" w:rsidRDefault="00D04125" w:rsidP="00212DDD">
      <w:pPr>
        <w:jc w:val="both"/>
        <w:rPr>
          <w:rFonts w:ascii="Times New Roman" w:eastAsia="Roboto" w:hAnsi="Times New Roman" w:cs="Times New Roman"/>
          <w:b/>
          <w:color w:val="374151"/>
          <w:sz w:val="24"/>
          <w:szCs w:val="24"/>
        </w:rPr>
      </w:pPr>
      <w:r>
        <w:rPr>
          <w:rFonts w:ascii="Times New Roman" w:eastAsia="Roboto" w:hAnsi="Times New Roman" w:cs="Times New Roman"/>
          <w:b/>
          <w:color w:val="374151"/>
          <w:sz w:val="24"/>
          <w:szCs w:val="24"/>
        </w:rPr>
        <w:t xml:space="preserve">3.2 </w:t>
      </w:r>
      <w:r w:rsidR="00CD4C0A" w:rsidRPr="00212DDD">
        <w:rPr>
          <w:rFonts w:ascii="Times New Roman" w:eastAsia="Roboto" w:hAnsi="Times New Roman" w:cs="Times New Roman"/>
          <w:b/>
          <w:color w:val="374151"/>
          <w:sz w:val="24"/>
          <w:szCs w:val="24"/>
        </w:rPr>
        <w:t>Empirical model</w:t>
      </w:r>
    </w:p>
    <w:p w14:paraId="00000061" w14:textId="77777777" w:rsidR="00BA7DAA" w:rsidRPr="00212DDD" w:rsidRDefault="00BA7DAA" w:rsidP="00212DDD">
      <w:pPr>
        <w:jc w:val="both"/>
        <w:rPr>
          <w:rFonts w:ascii="Times New Roman" w:eastAsia="Roboto" w:hAnsi="Times New Roman" w:cs="Times New Roman"/>
          <w:color w:val="374151"/>
          <w:sz w:val="24"/>
          <w:szCs w:val="24"/>
        </w:rPr>
      </w:pPr>
    </w:p>
    <w:p w14:paraId="00000062" w14:textId="77777777" w:rsidR="00BA7DAA" w:rsidRPr="00212DDD" w:rsidRDefault="00CD4C0A" w:rsidP="00212DDD">
      <w:pPr>
        <w:jc w:val="both"/>
        <w:rPr>
          <w:rFonts w:ascii="Times New Roman" w:eastAsia="Roboto" w:hAnsi="Times New Roman" w:cs="Times New Roman"/>
          <w:color w:val="374151"/>
          <w:sz w:val="24"/>
          <w:szCs w:val="24"/>
        </w:rPr>
      </w:pPr>
      <w:r w:rsidRPr="00212DDD">
        <w:rPr>
          <w:rFonts w:ascii="Times New Roman" w:eastAsia="Roboto" w:hAnsi="Times New Roman" w:cs="Times New Roman"/>
          <w:color w:val="374151"/>
          <w:sz w:val="24"/>
          <w:szCs w:val="24"/>
        </w:rPr>
        <w:t>Based on the theoretical framework, the empirical model for the study can be formulated as follows:</w:t>
      </w:r>
    </w:p>
    <w:p w14:paraId="63F79E3B" w14:textId="77777777" w:rsidR="008E4E0A" w:rsidRPr="00212DDD" w:rsidRDefault="008E4E0A" w:rsidP="00212DDD">
      <w:pPr>
        <w:jc w:val="both"/>
        <w:rPr>
          <w:rFonts w:ascii="Times New Roman" w:eastAsia="Roboto" w:hAnsi="Times New Roman" w:cs="Times New Roman"/>
          <w:color w:val="374151"/>
          <w:sz w:val="24"/>
          <w:szCs w:val="24"/>
        </w:rPr>
      </w:pPr>
    </w:p>
    <w:p w14:paraId="2D7E27D5" w14:textId="394EBBA6" w:rsidR="008E4E0A" w:rsidRPr="00212DDD" w:rsidRDefault="008E4E0A" w:rsidP="00212DDD">
      <w:pPr>
        <w:jc w:val="both"/>
        <w:rPr>
          <w:rFonts w:ascii="Times New Roman" w:eastAsia="Roboto" w:hAnsi="Times New Roman" w:cs="Times New Roman"/>
          <w:color w:val="374151"/>
          <w:sz w:val="24"/>
          <w:szCs w:val="24"/>
        </w:rPr>
      </w:pPr>
      <w:r w:rsidRPr="00212DDD">
        <w:rPr>
          <w:rFonts w:ascii="Times New Roman" w:eastAsia="Roboto" w:hAnsi="Times New Roman" w:cs="Times New Roman"/>
          <w:color w:val="374151"/>
          <w:sz w:val="24"/>
          <w:szCs w:val="24"/>
        </w:rPr>
        <w:t xml:space="preserve">FSK = </w:t>
      </w:r>
      <w:proofErr w:type="gramStart"/>
      <w:r w:rsidRPr="00212DDD">
        <w:rPr>
          <w:rFonts w:ascii="Times New Roman" w:eastAsia="Roboto" w:hAnsi="Times New Roman" w:cs="Times New Roman"/>
          <w:color w:val="374151"/>
          <w:sz w:val="24"/>
          <w:szCs w:val="24"/>
        </w:rPr>
        <w:t>f(</w:t>
      </w:r>
      <w:proofErr w:type="gramEnd"/>
      <w:r w:rsidRPr="00212DDD">
        <w:rPr>
          <w:rFonts w:ascii="Times New Roman" w:eastAsia="Roboto" w:hAnsi="Times New Roman" w:cs="Times New Roman"/>
          <w:color w:val="374151"/>
          <w:sz w:val="24"/>
          <w:szCs w:val="24"/>
        </w:rPr>
        <w:t>CPIA, DEM, EDB, FDI, REN, TMP)</w:t>
      </w:r>
      <w:r w:rsidR="00297985" w:rsidRPr="00212DDD">
        <w:rPr>
          <w:rFonts w:ascii="Times New Roman" w:eastAsia="Roboto" w:hAnsi="Times New Roman" w:cs="Times New Roman"/>
          <w:color w:val="374151"/>
          <w:sz w:val="24"/>
          <w:szCs w:val="24"/>
        </w:rPr>
        <w:t xml:space="preserve"> …(1)</w:t>
      </w:r>
    </w:p>
    <w:p w14:paraId="769C81A6" w14:textId="77777777" w:rsidR="00EB6C66" w:rsidRPr="00212DDD" w:rsidRDefault="00EB6C66" w:rsidP="00212DDD">
      <w:pPr>
        <w:jc w:val="both"/>
        <w:rPr>
          <w:rFonts w:ascii="Times New Roman" w:eastAsia="Roboto" w:hAnsi="Times New Roman" w:cs="Times New Roman"/>
          <w:color w:val="374151"/>
          <w:sz w:val="24"/>
          <w:szCs w:val="24"/>
        </w:rPr>
      </w:pPr>
    </w:p>
    <w:p w14:paraId="6D26A1B5" w14:textId="297E84C4" w:rsidR="00EB6C66" w:rsidRPr="00212DDD" w:rsidRDefault="00801C06" w:rsidP="00212DDD">
      <w:pPr>
        <w:jc w:val="both"/>
        <w:rPr>
          <w:rFonts w:ascii="Times New Roman" w:eastAsia="Roboto" w:hAnsi="Times New Roman" w:cs="Times New Roman"/>
          <w:color w:val="374151"/>
          <w:sz w:val="24"/>
          <w:szCs w:val="24"/>
        </w:rPr>
      </w:pPr>
      <m:oMath>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FSK</m:t>
            </m:r>
          </m:e>
          <m:sub>
            <m:r>
              <w:rPr>
                <w:rFonts w:ascii="Cambria Math" w:eastAsia="Roboto" w:hAnsi="Cambria Math" w:cs="Times New Roman"/>
                <w:color w:val="374151"/>
                <w:sz w:val="24"/>
                <w:szCs w:val="24"/>
              </w:rPr>
              <m:t>it</m:t>
            </m:r>
          </m:sub>
        </m:sSub>
        <m:r>
          <m:rPr>
            <m:sty m:val="p"/>
          </m:rPr>
          <w:rPr>
            <w:rFonts w:ascii="Cambria Math" w:hAnsi="Cambria Math" w:cs="Times New Roman"/>
            <w:sz w:val="24"/>
            <w:szCs w:val="24"/>
          </w:rPr>
          <m:t>​=</m:t>
        </m:r>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g</m:t>
            </m:r>
          </m:e>
          <m:sub>
            <m:r>
              <w:rPr>
                <w:rFonts w:ascii="Cambria Math" w:eastAsia="Roboto" w:hAnsi="Cambria Math" w:cs="Times New Roman"/>
                <w:color w:val="374151"/>
                <w:sz w:val="24"/>
                <w:szCs w:val="24"/>
              </w:rPr>
              <m:t>it</m:t>
            </m:r>
          </m:sub>
        </m:sSub>
        <m:r>
          <w:rPr>
            <w:rFonts w:ascii="Cambria Math" w:eastAsia="Roboto" w:hAnsi="Cambria Math" w:cs="Times New Roman"/>
            <w:color w:val="374151"/>
            <w:sz w:val="24"/>
            <w:szCs w:val="24"/>
          </w:rPr>
          <m:t>β+</m:t>
        </m:r>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ε</m:t>
            </m:r>
          </m:e>
          <m:sub>
            <m:r>
              <w:rPr>
                <w:rFonts w:ascii="Cambria Math" w:eastAsia="Roboto" w:hAnsi="Cambria Math" w:cs="Times New Roman"/>
                <w:color w:val="374151"/>
                <w:sz w:val="24"/>
                <w:szCs w:val="24"/>
              </w:rPr>
              <m:t>it</m:t>
            </m:r>
          </m:sub>
        </m:sSub>
      </m:oMath>
      <w:r w:rsidR="00EB6C66" w:rsidRPr="00212DDD">
        <w:rPr>
          <w:rFonts w:ascii="Times New Roman" w:hAnsi="Times New Roman" w:cs="Times New Roman"/>
          <w:sz w:val="24"/>
          <w:szCs w:val="24"/>
        </w:rPr>
        <w:t>​</w:t>
      </w:r>
      <w:r w:rsidR="00297985" w:rsidRPr="00212DDD">
        <w:rPr>
          <w:rFonts w:ascii="Times New Roman" w:hAnsi="Times New Roman" w:cs="Times New Roman"/>
          <w:sz w:val="24"/>
          <w:szCs w:val="24"/>
        </w:rPr>
        <w:t xml:space="preserve"> </w:t>
      </w:r>
      <w:proofErr w:type="gramStart"/>
      <w:r w:rsidR="00297985" w:rsidRPr="00212DDD">
        <w:rPr>
          <w:rFonts w:ascii="Times New Roman" w:hAnsi="Times New Roman" w:cs="Times New Roman"/>
          <w:sz w:val="24"/>
          <w:szCs w:val="24"/>
        </w:rPr>
        <w:t>…(</w:t>
      </w:r>
      <w:proofErr w:type="gramEnd"/>
      <w:r w:rsidR="00297985" w:rsidRPr="00212DDD">
        <w:rPr>
          <w:rFonts w:ascii="Times New Roman" w:hAnsi="Times New Roman" w:cs="Times New Roman"/>
          <w:sz w:val="24"/>
          <w:szCs w:val="24"/>
        </w:rPr>
        <w:t>2)</w:t>
      </w:r>
    </w:p>
    <w:p w14:paraId="00000063" w14:textId="77777777" w:rsidR="00BA7DAA" w:rsidRPr="00212DDD" w:rsidRDefault="00BA7DAA" w:rsidP="00212DDD">
      <w:pPr>
        <w:jc w:val="both"/>
        <w:rPr>
          <w:rFonts w:ascii="Times New Roman" w:eastAsia="Roboto" w:hAnsi="Times New Roman" w:cs="Times New Roman"/>
          <w:color w:val="374151"/>
          <w:sz w:val="24"/>
          <w:szCs w:val="24"/>
        </w:rPr>
      </w:pPr>
    </w:p>
    <w:p w14:paraId="4240634A" w14:textId="4701C55C" w:rsidR="00EB6C66" w:rsidRPr="00212DDD" w:rsidRDefault="00801C06" w:rsidP="00212DDD">
      <w:pPr>
        <w:jc w:val="both"/>
        <w:rPr>
          <w:rFonts w:ascii="Times New Roman" w:eastAsia="Roboto" w:hAnsi="Times New Roman" w:cs="Times New Roman"/>
          <w:color w:val="374151"/>
          <w:sz w:val="24"/>
          <w:szCs w:val="24"/>
        </w:rPr>
      </w:pPr>
      <m:oMath>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ε</m:t>
            </m:r>
          </m:e>
          <m:sub>
            <m:r>
              <w:rPr>
                <w:rFonts w:ascii="Cambria Math" w:eastAsia="Roboto" w:hAnsi="Cambria Math" w:cs="Times New Roman"/>
                <w:color w:val="374151"/>
                <w:sz w:val="24"/>
                <w:szCs w:val="24"/>
              </w:rPr>
              <m:t>it</m:t>
            </m:r>
          </m:sub>
        </m:sSub>
        <m:r>
          <m:rPr>
            <m:sty m:val="p"/>
          </m:rPr>
          <w:rPr>
            <w:rFonts w:ascii="Cambria Math" w:hAnsi="Cambria Math" w:cs="Times New Roman"/>
            <w:sz w:val="24"/>
            <w:szCs w:val="24"/>
          </w:rPr>
          <m:t>​=</m:t>
        </m:r>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α</m:t>
            </m:r>
          </m:e>
          <m:sub>
            <m:r>
              <w:rPr>
                <w:rFonts w:ascii="Cambria Math" w:eastAsia="Roboto" w:hAnsi="Cambria Math" w:cs="Times New Roman"/>
                <w:color w:val="374151"/>
                <w:sz w:val="24"/>
                <w:szCs w:val="24"/>
              </w:rPr>
              <m:t>i</m:t>
            </m:r>
          </m:sub>
        </m:sSub>
        <m:r>
          <w:rPr>
            <w:rFonts w:ascii="Cambria Math" w:eastAsia="Roboto" w:hAnsi="Cambria Math" w:cs="Times New Roman"/>
            <w:color w:val="374151"/>
            <w:sz w:val="24"/>
            <w:szCs w:val="24"/>
          </w:rPr>
          <m:t>+</m:t>
        </m:r>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γ</m:t>
            </m:r>
          </m:e>
          <m:sub>
            <m:r>
              <w:rPr>
                <w:rFonts w:ascii="Cambria Math" w:eastAsia="Roboto" w:hAnsi="Cambria Math" w:cs="Times New Roman"/>
                <w:color w:val="374151"/>
                <w:sz w:val="24"/>
                <w:szCs w:val="24"/>
              </w:rPr>
              <m:t>t</m:t>
            </m:r>
          </m:sub>
        </m:sSub>
        <m:r>
          <w:rPr>
            <w:rFonts w:ascii="Cambria Math" w:eastAsia="Roboto" w:hAnsi="Cambria Math" w:cs="Times New Roman"/>
            <w:color w:val="374151"/>
            <w:sz w:val="24"/>
            <w:szCs w:val="24"/>
          </w:rPr>
          <m:t>+</m:t>
        </m:r>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h</m:t>
            </m:r>
          </m:e>
          <m:sub>
            <m:r>
              <w:rPr>
                <w:rFonts w:ascii="Cambria Math" w:eastAsia="Roboto" w:hAnsi="Cambria Math" w:cs="Times New Roman"/>
                <w:color w:val="374151"/>
                <w:sz w:val="24"/>
                <w:szCs w:val="24"/>
              </w:rPr>
              <m:t>it</m:t>
            </m:r>
          </m:sub>
        </m:sSub>
      </m:oMath>
      <w:r w:rsidR="00EB6C66" w:rsidRPr="00212DDD">
        <w:rPr>
          <w:rFonts w:ascii="Times New Roman" w:hAnsi="Times New Roman" w:cs="Times New Roman"/>
          <w:sz w:val="24"/>
          <w:szCs w:val="24"/>
        </w:rPr>
        <w:t>​</w:t>
      </w:r>
      <w:r w:rsidR="00297985" w:rsidRPr="00212DDD">
        <w:rPr>
          <w:rFonts w:ascii="Times New Roman" w:hAnsi="Times New Roman" w:cs="Times New Roman"/>
          <w:sz w:val="24"/>
          <w:szCs w:val="24"/>
        </w:rPr>
        <w:t xml:space="preserve"> </w:t>
      </w:r>
      <w:proofErr w:type="gramStart"/>
      <w:r w:rsidR="00297985" w:rsidRPr="00212DDD">
        <w:rPr>
          <w:rFonts w:ascii="Times New Roman" w:hAnsi="Times New Roman" w:cs="Times New Roman"/>
          <w:sz w:val="24"/>
          <w:szCs w:val="24"/>
        </w:rPr>
        <w:t>…(</w:t>
      </w:r>
      <w:proofErr w:type="gramEnd"/>
      <w:r w:rsidR="00297985" w:rsidRPr="00212DDD">
        <w:rPr>
          <w:rFonts w:ascii="Times New Roman" w:hAnsi="Times New Roman" w:cs="Times New Roman"/>
          <w:sz w:val="24"/>
          <w:szCs w:val="24"/>
        </w:rPr>
        <w:t>3)</w:t>
      </w:r>
    </w:p>
    <w:p w14:paraId="1EA88699" w14:textId="0FAB7E76" w:rsidR="00EB6C66" w:rsidRPr="00212DDD" w:rsidRDefault="00A30EA0" w:rsidP="00212DDD">
      <w:pPr>
        <w:jc w:val="both"/>
        <w:rPr>
          <w:rFonts w:ascii="Times New Roman" w:eastAsia="Roboto" w:hAnsi="Times New Roman" w:cs="Times New Roman"/>
          <w:color w:val="374151"/>
          <w:sz w:val="24"/>
          <w:szCs w:val="24"/>
        </w:rPr>
      </w:pPr>
      <w:r w:rsidRPr="00212DDD">
        <w:rPr>
          <w:rFonts w:ascii="Times New Roman" w:eastAsia="Roboto" w:hAnsi="Times New Roman" w:cs="Times New Roman"/>
          <w:color w:val="374151"/>
          <w:sz w:val="24"/>
          <w:szCs w:val="24"/>
        </w:rPr>
        <w:t xml:space="preserve">From equation (2), </w:t>
      </w:r>
      <m:oMath>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g</m:t>
            </m:r>
          </m:e>
          <m:sub>
            <m:r>
              <w:rPr>
                <w:rFonts w:ascii="Cambria Math" w:eastAsia="Roboto" w:hAnsi="Cambria Math" w:cs="Times New Roman"/>
                <w:color w:val="374151"/>
                <w:sz w:val="24"/>
                <w:szCs w:val="24"/>
              </w:rPr>
              <m:t>it</m:t>
            </m:r>
          </m:sub>
        </m:sSub>
      </m:oMath>
      <w:r w:rsidRPr="00212DDD">
        <w:rPr>
          <w:rFonts w:ascii="Times New Roman" w:eastAsia="Roboto" w:hAnsi="Times New Roman" w:cs="Times New Roman"/>
          <w:color w:val="374151"/>
          <w:sz w:val="24"/>
          <w:szCs w:val="24"/>
        </w:rPr>
        <w:t xml:space="preserve"> contains </w:t>
      </w:r>
      <w:r w:rsidR="00297985" w:rsidRPr="00212DDD">
        <w:rPr>
          <w:rFonts w:ascii="Times New Roman" w:eastAsia="Roboto" w:hAnsi="Times New Roman" w:cs="Times New Roman"/>
          <w:color w:val="374151"/>
          <w:sz w:val="24"/>
          <w:szCs w:val="24"/>
        </w:rPr>
        <w:t xml:space="preserve">the variables to be used in the </w:t>
      </w:r>
      <w:r w:rsidRPr="00212DDD">
        <w:rPr>
          <w:rFonts w:ascii="Times New Roman" w:eastAsia="Roboto" w:hAnsi="Times New Roman" w:cs="Times New Roman"/>
          <w:color w:val="374151"/>
          <w:sz w:val="24"/>
          <w:szCs w:val="24"/>
        </w:rPr>
        <w:t>model:</w:t>
      </w:r>
    </w:p>
    <w:p w14:paraId="1E9386FB" w14:textId="77777777" w:rsidR="00A30EA0" w:rsidRPr="00212DDD" w:rsidRDefault="00A30EA0" w:rsidP="00212DDD">
      <w:pPr>
        <w:jc w:val="both"/>
        <w:rPr>
          <w:rFonts w:ascii="Times New Roman" w:eastAsia="Roboto" w:hAnsi="Times New Roman" w:cs="Times New Roman"/>
          <w:color w:val="374151"/>
          <w:sz w:val="24"/>
          <w:szCs w:val="24"/>
        </w:rPr>
      </w:pPr>
    </w:p>
    <w:p w14:paraId="1CAE1285" w14:textId="77777777" w:rsidR="00A30EA0" w:rsidRPr="00212DDD" w:rsidRDefault="00A30EA0" w:rsidP="00212DDD">
      <w:pPr>
        <w:jc w:val="both"/>
        <w:rPr>
          <w:rFonts w:ascii="Times New Roman" w:eastAsia="Roboto" w:hAnsi="Times New Roman" w:cs="Times New Roman"/>
          <w:color w:val="374151"/>
          <w:sz w:val="24"/>
          <w:szCs w:val="24"/>
        </w:rPr>
      </w:pPr>
    </w:p>
    <w:p w14:paraId="5D0928CB" w14:textId="33595A91" w:rsidR="00A30EA0" w:rsidRPr="00212DDD" w:rsidRDefault="00A30EA0" w:rsidP="00212DDD">
      <w:pPr>
        <w:jc w:val="both"/>
        <w:rPr>
          <w:rFonts w:ascii="Times New Roman" w:eastAsia="Roboto" w:hAnsi="Times New Roman" w:cs="Times New Roman"/>
          <w:color w:val="374151"/>
          <w:sz w:val="24"/>
          <w:szCs w:val="24"/>
        </w:rPr>
      </w:pPr>
      <m:oMath>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FSK</m:t>
            </m:r>
          </m:e>
          <m:sub>
            <m:r>
              <w:rPr>
                <w:rFonts w:ascii="Cambria Math" w:eastAsia="Roboto" w:hAnsi="Cambria Math" w:cs="Times New Roman"/>
                <w:color w:val="374151"/>
                <w:sz w:val="24"/>
                <w:szCs w:val="24"/>
              </w:rPr>
              <m:t>it</m:t>
            </m:r>
          </m:sub>
        </m:sSub>
        <m:r>
          <w:rPr>
            <w:rFonts w:ascii="Cambria Math" w:eastAsia="Roboto" w:hAnsi="Cambria Math" w:cs="Times New Roman"/>
            <w:color w:val="374151"/>
            <w:sz w:val="24"/>
            <w:szCs w:val="24"/>
          </w:rPr>
          <m:t xml:space="preserve">= </m:t>
        </m:r>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β</m:t>
            </m:r>
          </m:e>
          <m:sub>
            <m:r>
              <w:rPr>
                <w:rFonts w:ascii="Cambria Math" w:eastAsia="Roboto" w:hAnsi="Cambria Math" w:cs="Times New Roman"/>
                <w:color w:val="374151"/>
                <w:sz w:val="24"/>
                <w:szCs w:val="24"/>
              </w:rPr>
              <m:t>0</m:t>
            </m:r>
          </m:sub>
        </m:sSub>
        <m:r>
          <w:rPr>
            <w:rFonts w:ascii="Cambria Math" w:eastAsia="Roboto" w:hAnsi="Cambria Math" w:cs="Times New Roman"/>
            <w:color w:val="374151"/>
            <w:sz w:val="24"/>
            <w:szCs w:val="24"/>
          </w:rPr>
          <m:t>+</m:t>
        </m:r>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β</m:t>
            </m:r>
          </m:e>
          <m:sub>
            <m:r>
              <w:rPr>
                <w:rFonts w:ascii="Cambria Math" w:eastAsia="Roboto" w:hAnsi="Cambria Math" w:cs="Times New Roman"/>
                <w:color w:val="374151"/>
                <w:sz w:val="24"/>
                <w:szCs w:val="24"/>
              </w:rPr>
              <m:t>0</m:t>
            </m:r>
          </m:sub>
        </m:sSub>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CPIA</m:t>
            </m:r>
          </m:e>
          <m:sub>
            <m:r>
              <w:rPr>
                <w:rFonts w:ascii="Cambria Math" w:eastAsia="Roboto" w:hAnsi="Cambria Math" w:cs="Times New Roman"/>
                <w:color w:val="374151"/>
                <w:sz w:val="24"/>
                <w:szCs w:val="24"/>
              </w:rPr>
              <m:t>it</m:t>
            </m:r>
          </m:sub>
        </m:sSub>
        <m:r>
          <w:rPr>
            <w:rFonts w:ascii="Cambria Math" w:eastAsia="Roboto" w:hAnsi="Cambria Math" w:cs="Times New Roman"/>
            <w:color w:val="374151"/>
            <w:sz w:val="24"/>
            <w:szCs w:val="24"/>
          </w:rPr>
          <m:t>+</m:t>
        </m:r>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β</m:t>
            </m:r>
          </m:e>
          <m:sub>
            <m:r>
              <w:rPr>
                <w:rFonts w:ascii="Cambria Math" w:eastAsia="Roboto" w:hAnsi="Cambria Math" w:cs="Times New Roman"/>
                <w:color w:val="374151"/>
                <w:sz w:val="24"/>
                <w:szCs w:val="24"/>
              </w:rPr>
              <m:t>0</m:t>
            </m:r>
          </m:sub>
        </m:sSub>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DEM</m:t>
            </m:r>
          </m:e>
          <m:sub>
            <m:r>
              <w:rPr>
                <w:rFonts w:ascii="Cambria Math" w:eastAsia="Roboto" w:hAnsi="Cambria Math" w:cs="Times New Roman"/>
                <w:color w:val="374151"/>
                <w:sz w:val="24"/>
                <w:szCs w:val="24"/>
              </w:rPr>
              <m:t>it</m:t>
            </m:r>
          </m:sub>
        </m:sSub>
        <m:r>
          <w:rPr>
            <w:rFonts w:ascii="Cambria Math" w:eastAsia="Roboto" w:hAnsi="Cambria Math" w:cs="Times New Roman"/>
            <w:color w:val="374151"/>
            <w:sz w:val="24"/>
            <w:szCs w:val="24"/>
          </w:rPr>
          <m:t>+</m:t>
        </m:r>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β</m:t>
            </m:r>
          </m:e>
          <m:sub>
            <m:r>
              <w:rPr>
                <w:rFonts w:ascii="Cambria Math" w:eastAsia="Roboto" w:hAnsi="Cambria Math" w:cs="Times New Roman"/>
                <w:color w:val="374151"/>
                <w:sz w:val="24"/>
                <w:szCs w:val="24"/>
              </w:rPr>
              <m:t>0</m:t>
            </m:r>
          </m:sub>
        </m:sSub>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EDB</m:t>
            </m:r>
          </m:e>
          <m:sub>
            <m:r>
              <w:rPr>
                <w:rFonts w:ascii="Cambria Math" w:eastAsia="Roboto" w:hAnsi="Cambria Math" w:cs="Times New Roman"/>
                <w:color w:val="374151"/>
                <w:sz w:val="24"/>
                <w:szCs w:val="24"/>
              </w:rPr>
              <m:t>it</m:t>
            </m:r>
          </m:sub>
        </m:sSub>
        <m:r>
          <w:rPr>
            <w:rFonts w:ascii="Cambria Math" w:eastAsia="Roboto" w:hAnsi="Cambria Math" w:cs="Times New Roman"/>
            <w:color w:val="374151"/>
            <w:sz w:val="24"/>
            <w:szCs w:val="24"/>
          </w:rPr>
          <m:t>+</m:t>
        </m:r>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β</m:t>
            </m:r>
          </m:e>
          <m:sub>
            <m:r>
              <w:rPr>
                <w:rFonts w:ascii="Cambria Math" w:eastAsia="Roboto" w:hAnsi="Cambria Math" w:cs="Times New Roman"/>
                <w:color w:val="374151"/>
                <w:sz w:val="24"/>
                <w:szCs w:val="24"/>
              </w:rPr>
              <m:t>0</m:t>
            </m:r>
          </m:sub>
        </m:sSub>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FDI</m:t>
            </m:r>
          </m:e>
          <m:sub>
            <m:r>
              <w:rPr>
                <w:rFonts w:ascii="Cambria Math" w:eastAsia="Roboto" w:hAnsi="Cambria Math" w:cs="Times New Roman"/>
                <w:color w:val="374151"/>
                <w:sz w:val="24"/>
                <w:szCs w:val="24"/>
              </w:rPr>
              <m:t>it</m:t>
            </m:r>
          </m:sub>
        </m:sSub>
        <m:r>
          <w:rPr>
            <w:rFonts w:ascii="Cambria Math" w:eastAsia="Roboto" w:hAnsi="Cambria Math" w:cs="Times New Roman"/>
            <w:color w:val="374151"/>
            <w:sz w:val="24"/>
            <w:szCs w:val="24"/>
          </w:rPr>
          <m:t>+</m:t>
        </m:r>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β</m:t>
            </m:r>
          </m:e>
          <m:sub>
            <m:r>
              <w:rPr>
                <w:rFonts w:ascii="Cambria Math" w:eastAsia="Roboto" w:hAnsi="Cambria Math" w:cs="Times New Roman"/>
                <w:color w:val="374151"/>
                <w:sz w:val="24"/>
                <w:szCs w:val="24"/>
              </w:rPr>
              <m:t>0</m:t>
            </m:r>
          </m:sub>
        </m:sSub>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REN</m:t>
            </m:r>
          </m:e>
          <m:sub>
            <m:r>
              <w:rPr>
                <w:rFonts w:ascii="Cambria Math" w:eastAsia="Roboto" w:hAnsi="Cambria Math" w:cs="Times New Roman"/>
                <w:color w:val="374151"/>
                <w:sz w:val="24"/>
                <w:szCs w:val="24"/>
              </w:rPr>
              <m:t>it</m:t>
            </m:r>
          </m:sub>
        </m:sSub>
        <m:r>
          <w:rPr>
            <w:rFonts w:ascii="Cambria Math" w:eastAsia="Roboto" w:hAnsi="Cambria Math" w:cs="Times New Roman"/>
            <w:color w:val="374151"/>
            <w:sz w:val="24"/>
            <w:szCs w:val="24"/>
          </w:rPr>
          <m:t>+</m:t>
        </m:r>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β</m:t>
            </m:r>
          </m:e>
          <m:sub>
            <m:r>
              <w:rPr>
                <w:rFonts w:ascii="Cambria Math" w:eastAsia="Roboto" w:hAnsi="Cambria Math" w:cs="Times New Roman"/>
                <w:color w:val="374151"/>
                <w:sz w:val="24"/>
                <w:szCs w:val="24"/>
              </w:rPr>
              <m:t>0</m:t>
            </m:r>
          </m:sub>
        </m:sSub>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TMP</m:t>
            </m:r>
          </m:e>
          <m:sub>
            <m:r>
              <w:rPr>
                <w:rFonts w:ascii="Cambria Math" w:eastAsia="Roboto" w:hAnsi="Cambria Math" w:cs="Times New Roman"/>
                <w:color w:val="374151"/>
                <w:sz w:val="24"/>
                <w:szCs w:val="24"/>
              </w:rPr>
              <m:t>it</m:t>
            </m:r>
          </m:sub>
        </m:sSub>
        <m:r>
          <w:rPr>
            <w:rFonts w:ascii="Cambria Math" w:eastAsia="Roboto" w:hAnsi="Cambria Math" w:cs="Times New Roman"/>
            <w:color w:val="374151"/>
            <w:sz w:val="24"/>
            <w:szCs w:val="24"/>
          </w:rPr>
          <m:t>+</m:t>
        </m:r>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ε</m:t>
            </m:r>
          </m:e>
          <m:sub>
            <m:r>
              <w:rPr>
                <w:rFonts w:ascii="Cambria Math" w:eastAsia="Roboto" w:hAnsi="Cambria Math" w:cs="Times New Roman"/>
                <w:color w:val="374151"/>
                <w:sz w:val="24"/>
                <w:szCs w:val="24"/>
              </w:rPr>
              <m:t>it</m:t>
            </m:r>
          </m:sub>
        </m:sSub>
      </m:oMath>
      <w:r w:rsidR="00297985" w:rsidRPr="00212DDD">
        <w:rPr>
          <w:rFonts w:ascii="Times New Roman" w:eastAsia="Roboto" w:hAnsi="Times New Roman" w:cs="Times New Roman"/>
          <w:color w:val="374151"/>
          <w:sz w:val="24"/>
          <w:szCs w:val="24"/>
        </w:rPr>
        <w:t xml:space="preserve"> </w:t>
      </w:r>
      <w:proofErr w:type="gramStart"/>
      <w:r w:rsidR="00297985" w:rsidRPr="00212DDD">
        <w:rPr>
          <w:rFonts w:ascii="Times New Roman" w:eastAsia="Roboto" w:hAnsi="Times New Roman" w:cs="Times New Roman"/>
          <w:color w:val="374151"/>
          <w:sz w:val="24"/>
          <w:szCs w:val="24"/>
        </w:rPr>
        <w:t>…(</w:t>
      </w:r>
      <w:proofErr w:type="gramEnd"/>
      <w:r w:rsidR="00297985" w:rsidRPr="00212DDD">
        <w:rPr>
          <w:rFonts w:ascii="Times New Roman" w:eastAsia="Roboto" w:hAnsi="Times New Roman" w:cs="Times New Roman"/>
          <w:color w:val="374151"/>
          <w:sz w:val="24"/>
          <w:szCs w:val="24"/>
        </w:rPr>
        <w:t>4)</w:t>
      </w:r>
    </w:p>
    <w:p w14:paraId="05F42999" w14:textId="77777777" w:rsidR="00297985" w:rsidRPr="00212DDD" w:rsidRDefault="00297985" w:rsidP="00212DDD">
      <w:pPr>
        <w:jc w:val="both"/>
        <w:rPr>
          <w:rFonts w:ascii="Times New Roman" w:eastAsia="Roboto" w:hAnsi="Times New Roman" w:cs="Times New Roman"/>
          <w:color w:val="374151"/>
          <w:sz w:val="24"/>
          <w:szCs w:val="24"/>
        </w:rPr>
      </w:pPr>
    </w:p>
    <w:p w14:paraId="26A401C3" w14:textId="7B19DF38" w:rsidR="002D17E7" w:rsidRPr="00212DDD" w:rsidRDefault="00801C06" w:rsidP="00212DDD">
      <w:pPr>
        <w:jc w:val="both"/>
        <w:rPr>
          <w:rFonts w:ascii="Times New Roman" w:hAnsi="Times New Roman" w:cs="Times New Roman"/>
          <w:sz w:val="24"/>
          <w:szCs w:val="24"/>
        </w:rPr>
      </w:pPr>
      <m:oMath>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FSK</m:t>
            </m:r>
          </m:e>
          <m:sub>
            <m:r>
              <w:rPr>
                <w:rFonts w:ascii="Cambria Math" w:eastAsia="Roboto" w:hAnsi="Cambria Math" w:cs="Times New Roman"/>
                <w:color w:val="374151"/>
                <w:sz w:val="24"/>
                <w:szCs w:val="24"/>
              </w:rPr>
              <m:t>it</m:t>
            </m:r>
          </m:sub>
        </m:sSub>
      </m:oMath>
      <w:r w:rsidR="002D17E7" w:rsidRPr="00212DDD">
        <w:rPr>
          <w:rFonts w:ascii="Times New Roman" w:hAnsi="Times New Roman" w:cs="Times New Roman"/>
          <w:sz w:val="24"/>
          <w:szCs w:val="24"/>
        </w:rPr>
        <w:t xml:space="preserve"> </w:t>
      </w:r>
      <w:proofErr w:type="gramStart"/>
      <w:r w:rsidR="002D17E7" w:rsidRPr="00212DDD">
        <w:rPr>
          <w:rFonts w:ascii="Times New Roman" w:hAnsi="Times New Roman" w:cs="Times New Roman"/>
          <w:sz w:val="24"/>
          <w:szCs w:val="24"/>
        </w:rPr>
        <w:t>is</w:t>
      </w:r>
      <w:proofErr w:type="gramEnd"/>
      <w:r w:rsidR="002D17E7" w:rsidRPr="00212DDD">
        <w:rPr>
          <w:rFonts w:ascii="Times New Roman" w:hAnsi="Times New Roman" w:cs="Times New Roman"/>
          <w:sz w:val="24"/>
          <w:szCs w:val="24"/>
        </w:rPr>
        <w:t xml:space="preserve"> the food supply (kcal per capita per day) for country i at time t (dependent variable).</w:t>
      </w:r>
    </w:p>
    <w:p w14:paraId="7CE45766" w14:textId="3E2E6BA9" w:rsidR="002D17E7" w:rsidRPr="00212DDD" w:rsidRDefault="00801C06" w:rsidP="00212DDD">
      <w:pPr>
        <w:jc w:val="both"/>
        <w:rPr>
          <w:rFonts w:ascii="Times New Roman" w:hAnsi="Times New Roman" w:cs="Times New Roman"/>
          <w:sz w:val="24"/>
          <w:szCs w:val="24"/>
        </w:rPr>
      </w:pPr>
      <m:oMath>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CPIA</m:t>
            </m:r>
          </m:e>
          <m:sub>
            <m:r>
              <w:rPr>
                <w:rFonts w:ascii="Cambria Math" w:eastAsia="Roboto" w:hAnsi="Cambria Math" w:cs="Times New Roman"/>
                <w:color w:val="374151"/>
                <w:sz w:val="24"/>
                <w:szCs w:val="24"/>
              </w:rPr>
              <m:t>it</m:t>
            </m:r>
          </m:sub>
        </m:sSub>
      </m:oMath>
      <w:r w:rsidR="002D17E7" w:rsidRPr="00212DDD">
        <w:rPr>
          <w:rFonts w:ascii="Times New Roman" w:hAnsi="Times New Roman" w:cs="Times New Roman"/>
          <w:sz w:val="24"/>
          <w:szCs w:val="24"/>
        </w:rPr>
        <w:t xml:space="preserve"> </w:t>
      </w:r>
      <w:proofErr w:type="gramStart"/>
      <w:r w:rsidR="002D17E7" w:rsidRPr="00212DDD">
        <w:rPr>
          <w:rFonts w:ascii="Times New Roman" w:hAnsi="Times New Roman" w:cs="Times New Roman"/>
          <w:sz w:val="24"/>
          <w:szCs w:val="24"/>
        </w:rPr>
        <w:t>is</w:t>
      </w:r>
      <w:proofErr w:type="gramEnd"/>
      <w:r w:rsidR="002D17E7" w:rsidRPr="00212DDD">
        <w:rPr>
          <w:rFonts w:ascii="Times New Roman" w:hAnsi="Times New Roman" w:cs="Times New Roman"/>
          <w:sz w:val="24"/>
          <w:szCs w:val="24"/>
        </w:rPr>
        <w:t xml:space="preserve"> the CPIA transparency, accountability, and corruption in the public sector rating for country i at time t.</w:t>
      </w:r>
    </w:p>
    <w:p w14:paraId="5EF9E1C8" w14:textId="0DA8FBC4" w:rsidR="002D17E7" w:rsidRPr="00212DDD" w:rsidRDefault="00801C06" w:rsidP="00212DDD">
      <w:pPr>
        <w:jc w:val="both"/>
        <w:rPr>
          <w:rFonts w:ascii="Times New Roman" w:hAnsi="Times New Roman" w:cs="Times New Roman"/>
          <w:sz w:val="24"/>
          <w:szCs w:val="24"/>
        </w:rPr>
      </w:pPr>
      <m:oMath>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EDB</m:t>
            </m:r>
          </m:e>
          <m:sub>
            <m:r>
              <w:rPr>
                <w:rFonts w:ascii="Cambria Math" w:eastAsia="Roboto" w:hAnsi="Cambria Math" w:cs="Times New Roman"/>
                <w:color w:val="374151"/>
                <w:sz w:val="24"/>
                <w:szCs w:val="24"/>
              </w:rPr>
              <m:t>it</m:t>
            </m:r>
          </m:sub>
        </m:sSub>
      </m:oMath>
      <w:r w:rsidR="002D17E7" w:rsidRPr="00212DDD">
        <w:rPr>
          <w:rFonts w:ascii="Times New Roman" w:hAnsi="Times New Roman" w:cs="Times New Roman"/>
          <w:sz w:val="24"/>
          <w:szCs w:val="24"/>
        </w:rPr>
        <w:t xml:space="preserve"> </w:t>
      </w:r>
      <w:proofErr w:type="gramStart"/>
      <w:r w:rsidR="002D17E7" w:rsidRPr="00212DDD">
        <w:rPr>
          <w:rFonts w:ascii="Times New Roman" w:hAnsi="Times New Roman" w:cs="Times New Roman"/>
          <w:sz w:val="24"/>
          <w:szCs w:val="24"/>
        </w:rPr>
        <w:t>is</w:t>
      </w:r>
      <w:proofErr w:type="gramEnd"/>
      <w:r w:rsidR="002D17E7" w:rsidRPr="00212DDD">
        <w:rPr>
          <w:rFonts w:ascii="Times New Roman" w:hAnsi="Times New Roman" w:cs="Times New Roman"/>
          <w:sz w:val="24"/>
          <w:szCs w:val="24"/>
        </w:rPr>
        <w:t xml:space="preserve"> the Ease of doing business score for country i at time t.</w:t>
      </w:r>
    </w:p>
    <w:p w14:paraId="3357ADEB" w14:textId="41D76A6A" w:rsidR="002D17E7" w:rsidRPr="00212DDD" w:rsidRDefault="00801C06" w:rsidP="00212DDD">
      <w:pPr>
        <w:jc w:val="both"/>
        <w:rPr>
          <w:rFonts w:ascii="Times New Roman" w:hAnsi="Times New Roman" w:cs="Times New Roman"/>
          <w:sz w:val="24"/>
          <w:szCs w:val="24"/>
        </w:rPr>
      </w:pPr>
      <m:oMath>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FDI</m:t>
            </m:r>
          </m:e>
          <m:sub>
            <m:r>
              <w:rPr>
                <w:rFonts w:ascii="Cambria Math" w:eastAsia="Roboto" w:hAnsi="Cambria Math" w:cs="Times New Roman"/>
                <w:color w:val="374151"/>
                <w:sz w:val="24"/>
                <w:szCs w:val="24"/>
              </w:rPr>
              <m:t>it</m:t>
            </m:r>
          </m:sub>
        </m:sSub>
      </m:oMath>
      <w:proofErr w:type="gramStart"/>
      <w:r w:rsidR="002D17E7" w:rsidRPr="00212DDD">
        <w:rPr>
          <w:rFonts w:ascii="Times New Roman" w:hAnsi="Times New Roman" w:cs="Times New Roman"/>
          <w:sz w:val="24"/>
          <w:szCs w:val="24"/>
        </w:rPr>
        <w:t>is</w:t>
      </w:r>
      <w:proofErr w:type="gramEnd"/>
      <w:r w:rsidR="002D17E7" w:rsidRPr="00212DDD">
        <w:rPr>
          <w:rFonts w:ascii="Times New Roman" w:hAnsi="Times New Roman" w:cs="Times New Roman"/>
          <w:sz w:val="24"/>
          <w:szCs w:val="24"/>
        </w:rPr>
        <w:t xml:space="preserve"> the Foreign direct investment net inflows (% of GDP) for country i at time t.</w:t>
      </w:r>
    </w:p>
    <w:p w14:paraId="45B7D84D" w14:textId="0B0FFFE9" w:rsidR="002D17E7" w:rsidRPr="00212DDD" w:rsidRDefault="00801C06" w:rsidP="00212DDD">
      <w:pPr>
        <w:jc w:val="both"/>
        <w:rPr>
          <w:rFonts w:ascii="Times New Roman" w:hAnsi="Times New Roman" w:cs="Times New Roman"/>
          <w:sz w:val="24"/>
          <w:szCs w:val="24"/>
        </w:rPr>
      </w:pPr>
      <m:oMath>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TMP</m:t>
            </m:r>
          </m:e>
          <m:sub>
            <m:r>
              <w:rPr>
                <w:rFonts w:ascii="Cambria Math" w:eastAsia="Roboto" w:hAnsi="Cambria Math" w:cs="Times New Roman"/>
                <w:color w:val="374151"/>
                <w:sz w:val="24"/>
                <w:szCs w:val="24"/>
              </w:rPr>
              <m:t>it</m:t>
            </m:r>
          </m:sub>
        </m:sSub>
      </m:oMath>
      <w:r w:rsidR="002D17E7" w:rsidRPr="00212DDD">
        <w:rPr>
          <w:rFonts w:ascii="Times New Roman" w:hAnsi="Times New Roman" w:cs="Times New Roman"/>
          <w:sz w:val="24"/>
          <w:szCs w:val="24"/>
        </w:rPr>
        <w:t xml:space="preserve"> </w:t>
      </w:r>
      <w:proofErr w:type="gramStart"/>
      <w:r w:rsidR="002D17E7" w:rsidRPr="00212DDD">
        <w:rPr>
          <w:rFonts w:ascii="Times New Roman" w:hAnsi="Times New Roman" w:cs="Times New Roman"/>
          <w:sz w:val="24"/>
          <w:szCs w:val="24"/>
        </w:rPr>
        <w:t>is</w:t>
      </w:r>
      <w:proofErr w:type="gramEnd"/>
      <w:r w:rsidR="002D17E7" w:rsidRPr="00212DDD">
        <w:rPr>
          <w:rFonts w:ascii="Times New Roman" w:hAnsi="Times New Roman" w:cs="Times New Roman"/>
          <w:sz w:val="24"/>
          <w:szCs w:val="24"/>
        </w:rPr>
        <w:t xml:space="preserve"> the Temperature change for country i at time t.</w:t>
      </w:r>
    </w:p>
    <w:p w14:paraId="38F1EA33" w14:textId="4E3F2FD1" w:rsidR="002D17E7" w:rsidRPr="00212DDD" w:rsidRDefault="00801C06" w:rsidP="00212DDD">
      <w:pPr>
        <w:jc w:val="both"/>
        <w:rPr>
          <w:rFonts w:ascii="Times New Roman" w:hAnsi="Times New Roman" w:cs="Times New Roman"/>
          <w:sz w:val="24"/>
          <w:szCs w:val="24"/>
        </w:rPr>
      </w:pPr>
      <m:oMath>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DEM</m:t>
            </m:r>
          </m:e>
          <m:sub>
            <m:r>
              <w:rPr>
                <w:rFonts w:ascii="Cambria Math" w:eastAsia="Roboto" w:hAnsi="Cambria Math" w:cs="Times New Roman"/>
                <w:color w:val="374151"/>
                <w:sz w:val="24"/>
                <w:szCs w:val="24"/>
              </w:rPr>
              <m:t>it</m:t>
            </m:r>
          </m:sub>
        </m:sSub>
      </m:oMath>
      <w:r w:rsidR="002D17E7" w:rsidRPr="00212DDD">
        <w:rPr>
          <w:rFonts w:ascii="Times New Roman" w:hAnsi="Times New Roman" w:cs="Times New Roman"/>
          <w:sz w:val="24"/>
          <w:szCs w:val="24"/>
        </w:rPr>
        <w:t xml:space="preserve"> </w:t>
      </w:r>
      <w:proofErr w:type="gramStart"/>
      <w:r w:rsidR="002D17E7" w:rsidRPr="00212DDD">
        <w:rPr>
          <w:rFonts w:ascii="Times New Roman" w:hAnsi="Times New Roman" w:cs="Times New Roman"/>
          <w:sz w:val="24"/>
          <w:szCs w:val="24"/>
        </w:rPr>
        <w:t>is</w:t>
      </w:r>
      <w:proofErr w:type="gramEnd"/>
      <w:r w:rsidR="002D17E7" w:rsidRPr="00212DDD">
        <w:rPr>
          <w:rFonts w:ascii="Times New Roman" w:hAnsi="Times New Roman" w:cs="Times New Roman"/>
          <w:sz w:val="24"/>
          <w:szCs w:val="24"/>
        </w:rPr>
        <w:t xml:space="preserve"> the Electoral Democracy for country i at time t.</w:t>
      </w:r>
    </w:p>
    <w:p w14:paraId="33B27368" w14:textId="2F81EFE5" w:rsidR="002D17E7" w:rsidRPr="00212DDD" w:rsidRDefault="00801C06" w:rsidP="00212DDD">
      <w:pPr>
        <w:jc w:val="both"/>
        <w:rPr>
          <w:rFonts w:ascii="Times New Roman" w:hAnsi="Times New Roman" w:cs="Times New Roman"/>
          <w:sz w:val="24"/>
          <w:szCs w:val="24"/>
        </w:rPr>
      </w:pPr>
      <m:oMath>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REN</m:t>
            </m:r>
          </m:e>
          <m:sub>
            <m:r>
              <w:rPr>
                <w:rFonts w:ascii="Cambria Math" w:eastAsia="Roboto" w:hAnsi="Cambria Math" w:cs="Times New Roman"/>
                <w:color w:val="374151"/>
                <w:sz w:val="24"/>
                <w:szCs w:val="24"/>
              </w:rPr>
              <m:t>it</m:t>
            </m:r>
          </m:sub>
        </m:sSub>
      </m:oMath>
      <w:proofErr w:type="gramStart"/>
      <w:r w:rsidR="002D17E7" w:rsidRPr="00212DDD">
        <w:rPr>
          <w:rFonts w:ascii="Times New Roman" w:hAnsi="Times New Roman" w:cs="Times New Roman"/>
          <w:sz w:val="24"/>
          <w:szCs w:val="24"/>
        </w:rPr>
        <w:t>is</w:t>
      </w:r>
      <w:proofErr w:type="gramEnd"/>
      <w:r w:rsidR="002D17E7" w:rsidRPr="00212DDD">
        <w:rPr>
          <w:rFonts w:ascii="Times New Roman" w:hAnsi="Times New Roman" w:cs="Times New Roman"/>
          <w:sz w:val="24"/>
          <w:szCs w:val="24"/>
        </w:rPr>
        <w:t xml:space="preserve"> the Renewables - % electricity for country i at time t.</w:t>
      </w:r>
    </w:p>
    <w:p w14:paraId="60021E31" w14:textId="4E8C9F65" w:rsidR="002D17E7" w:rsidRPr="00212DDD" w:rsidRDefault="00801C06" w:rsidP="00212DDD">
      <w:pPr>
        <w:jc w:val="both"/>
        <w:rPr>
          <w:rFonts w:ascii="Times New Roman" w:hAnsi="Times New Roman" w:cs="Times New Roman"/>
          <w:sz w:val="24"/>
          <w:szCs w:val="24"/>
        </w:rPr>
      </w:pPr>
      <m:oMath>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ε</m:t>
            </m:r>
          </m:e>
          <m:sub>
            <m:r>
              <w:rPr>
                <w:rFonts w:ascii="Cambria Math" w:eastAsia="Roboto" w:hAnsi="Cambria Math" w:cs="Times New Roman"/>
                <w:color w:val="374151"/>
                <w:sz w:val="24"/>
                <w:szCs w:val="24"/>
              </w:rPr>
              <m:t>it</m:t>
            </m:r>
          </m:sub>
        </m:sSub>
      </m:oMath>
      <w:r w:rsidR="002D17E7" w:rsidRPr="00212DDD">
        <w:rPr>
          <w:rFonts w:ascii="Times New Roman" w:hAnsi="Times New Roman" w:cs="Times New Roman"/>
          <w:sz w:val="24"/>
          <w:szCs w:val="24"/>
        </w:rPr>
        <w:t xml:space="preserve">​ </w:t>
      </w:r>
      <w:proofErr w:type="gramStart"/>
      <w:r w:rsidR="002D17E7" w:rsidRPr="00212DDD">
        <w:rPr>
          <w:rFonts w:ascii="Times New Roman" w:hAnsi="Times New Roman" w:cs="Times New Roman"/>
          <w:sz w:val="24"/>
          <w:szCs w:val="24"/>
        </w:rPr>
        <w:t>is</w:t>
      </w:r>
      <w:proofErr w:type="gramEnd"/>
      <w:r w:rsidR="002D17E7" w:rsidRPr="00212DDD">
        <w:rPr>
          <w:rFonts w:ascii="Times New Roman" w:hAnsi="Times New Roman" w:cs="Times New Roman"/>
          <w:sz w:val="24"/>
          <w:szCs w:val="24"/>
        </w:rPr>
        <w:t xml:space="preserve"> the error term.</w:t>
      </w:r>
    </w:p>
    <w:p w14:paraId="5C42D22F" w14:textId="77777777" w:rsidR="00347370" w:rsidRPr="00212DDD" w:rsidRDefault="00347370" w:rsidP="00212DDD">
      <w:pPr>
        <w:jc w:val="both"/>
        <w:rPr>
          <w:rFonts w:ascii="Times New Roman" w:hAnsi="Times New Roman" w:cs="Times New Roman"/>
          <w:sz w:val="24"/>
          <w:szCs w:val="24"/>
        </w:rPr>
      </w:pPr>
    </w:p>
    <w:p w14:paraId="6BB2225D" w14:textId="0C303AAF" w:rsidR="00347370" w:rsidRPr="00212DDD" w:rsidRDefault="00347370" w:rsidP="00212DDD">
      <w:pPr>
        <w:jc w:val="both"/>
        <w:rPr>
          <w:rFonts w:ascii="Times New Roman" w:hAnsi="Times New Roman" w:cs="Times New Roman"/>
          <w:sz w:val="24"/>
          <w:szCs w:val="24"/>
        </w:rPr>
      </w:pPr>
      <w:r w:rsidRPr="00212DDD">
        <w:rPr>
          <w:rFonts w:ascii="Times New Roman" w:hAnsi="Times New Roman" w:cs="Times New Roman"/>
          <w:sz w:val="24"/>
          <w:szCs w:val="24"/>
        </w:rPr>
        <w:t xml:space="preserve">The error term </w:t>
      </w:r>
      <m:oMath>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ε</m:t>
            </m:r>
          </m:e>
          <m:sub>
            <m:r>
              <w:rPr>
                <w:rFonts w:ascii="Cambria Math" w:eastAsia="Roboto" w:hAnsi="Cambria Math" w:cs="Times New Roman"/>
                <w:color w:val="374151"/>
                <w:sz w:val="24"/>
                <w:szCs w:val="24"/>
              </w:rPr>
              <m:t>it</m:t>
            </m:r>
          </m:sub>
        </m:sSub>
      </m:oMath>
      <w:r w:rsidRPr="00212DDD">
        <w:rPr>
          <w:rFonts w:ascii="Times New Roman" w:hAnsi="Times New Roman" w:cs="Times New Roman"/>
          <w:sz w:val="24"/>
          <w:szCs w:val="24"/>
        </w:rPr>
        <w:t>​ can be decomposed as follows:</w:t>
      </w:r>
    </w:p>
    <w:p w14:paraId="3148135B" w14:textId="77777777" w:rsidR="00347370" w:rsidRPr="00212DDD" w:rsidRDefault="00347370" w:rsidP="00212DDD">
      <w:pPr>
        <w:jc w:val="both"/>
        <w:rPr>
          <w:rFonts w:ascii="Times New Roman" w:hAnsi="Times New Roman" w:cs="Times New Roman"/>
          <w:sz w:val="24"/>
          <w:szCs w:val="24"/>
        </w:rPr>
      </w:pPr>
    </w:p>
    <w:p w14:paraId="351B6459" w14:textId="20C4CDEA" w:rsidR="00347370" w:rsidRPr="00212DDD" w:rsidRDefault="00801C06" w:rsidP="00212DDD">
      <w:pPr>
        <w:jc w:val="both"/>
        <w:rPr>
          <w:rFonts w:ascii="Times New Roman" w:hAnsi="Times New Roman" w:cs="Times New Roman"/>
          <w:sz w:val="24"/>
          <w:szCs w:val="24"/>
        </w:rPr>
      </w:pPr>
      <m:oMath>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ε</m:t>
            </m:r>
          </m:e>
          <m:sub>
            <m:r>
              <w:rPr>
                <w:rFonts w:ascii="Cambria Math" w:eastAsia="Roboto" w:hAnsi="Cambria Math" w:cs="Times New Roman"/>
                <w:color w:val="374151"/>
                <w:sz w:val="24"/>
                <w:szCs w:val="24"/>
              </w:rPr>
              <m:t>it</m:t>
            </m:r>
          </m:sub>
        </m:sSub>
        <m:r>
          <m:rPr>
            <m:sty m:val="p"/>
          </m:rPr>
          <w:rPr>
            <w:rFonts w:ascii="Cambria Math" w:hAnsi="Cambria Math" w:cs="Times New Roman"/>
            <w:sz w:val="24"/>
            <w:szCs w:val="24"/>
          </w:rPr>
          <m:t>​=</m:t>
        </m:r>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α</m:t>
            </m:r>
          </m:e>
          <m:sub>
            <m:r>
              <w:rPr>
                <w:rFonts w:ascii="Cambria Math" w:eastAsia="Roboto" w:hAnsi="Cambria Math" w:cs="Times New Roman"/>
                <w:color w:val="374151"/>
                <w:sz w:val="24"/>
                <w:szCs w:val="24"/>
              </w:rPr>
              <m:t>i</m:t>
            </m:r>
          </m:sub>
        </m:sSub>
        <m:r>
          <w:rPr>
            <w:rFonts w:ascii="Cambria Math" w:eastAsia="Roboto" w:hAnsi="Cambria Math" w:cs="Times New Roman"/>
            <w:color w:val="374151"/>
            <w:sz w:val="24"/>
            <w:szCs w:val="24"/>
          </w:rPr>
          <m:t>+</m:t>
        </m:r>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h</m:t>
            </m:r>
          </m:e>
          <m:sub>
            <m:r>
              <w:rPr>
                <w:rFonts w:ascii="Cambria Math" w:eastAsia="Roboto" w:hAnsi="Cambria Math" w:cs="Times New Roman"/>
                <w:color w:val="374151"/>
                <w:sz w:val="24"/>
                <w:szCs w:val="24"/>
              </w:rPr>
              <m:t>it</m:t>
            </m:r>
          </m:sub>
        </m:sSub>
      </m:oMath>
      <w:r w:rsidR="00347370" w:rsidRPr="00212DDD">
        <w:rPr>
          <w:rFonts w:ascii="Times New Roman" w:hAnsi="Times New Roman" w:cs="Times New Roman"/>
          <w:sz w:val="24"/>
          <w:szCs w:val="24"/>
        </w:rPr>
        <w:t xml:space="preserve">​ </w:t>
      </w:r>
      <w:proofErr w:type="gramStart"/>
      <w:r w:rsidR="00297985" w:rsidRPr="00212DDD">
        <w:rPr>
          <w:rFonts w:ascii="Times New Roman" w:hAnsi="Times New Roman" w:cs="Times New Roman"/>
          <w:sz w:val="24"/>
          <w:szCs w:val="24"/>
        </w:rPr>
        <w:t>…(</w:t>
      </w:r>
      <w:proofErr w:type="gramEnd"/>
      <w:r w:rsidR="00297985" w:rsidRPr="00212DDD">
        <w:rPr>
          <w:rFonts w:ascii="Times New Roman" w:hAnsi="Times New Roman" w:cs="Times New Roman"/>
          <w:sz w:val="24"/>
          <w:szCs w:val="24"/>
        </w:rPr>
        <w:t>5</w:t>
      </w:r>
      <w:r w:rsidR="008C6274" w:rsidRPr="00212DDD">
        <w:rPr>
          <w:rFonts w:ascii="Times New Roman" w:hAnsi="Times New Roman" w:cs="Times New Roman"/>
          <w:sz w:val="24"/>
          <w:szCs w:val="24"/>
        </w:rPr>
        <w:t>)</w:t>
      </w:r>
    </w:p>
    <w:p w14:paraId="3961175B" w14:textId="77777777" w:rsidR="008C6274" w:rsidRPr="00212DDD" w:rsidRDefault="008C6274" w:rsidP="00212DDD">
      <w:pPr>
        <w:jc w:val="both"/>
        <w:rPr>
          <w:rFonts w:ascii="Times New Roman" w:hAnsi="Times New Roman" w:cs="Times New Roman"/>
          <w:sz w:val="24"/>
          <w:szCs w:val="24"/>
        </w:rPr>
      </w:pPr>
    </w:p>
    <w:p w14:paraId="456C8FBD" w14:textId="5299BB6D" w:rsidR="008C6274" w:rsidRPr="00212DDD" w:rsidRDefault="00801C06" w:rsidP="00212DDD">
      <w:pPr>
        <w:jc w:val="both"/>
        <w:rPr>
          <w:rFonts w:ascii="Times New Roman" w:hAnsi="Times New Roman" w:cs="Times New Roman"/>
          <w:color w:val="374151"/>
          <w:sz w:val="24"/>
          <w:szCs w:val="24"/>
        </w:rPr>
      </w:pPr>
      <m:oMathPara>
        <m:oMath>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α</m:t>
              </m:r>
            </m:e>
            <m:sub>
              <m:r>
                <w:rPr>
                  <w:rFonts w:ascii="Cambria Math" w:eastAsia="Roboto" w:hAnsi="Cambria Math" w:cs="Times New Roman"/>
                  <w:color w:val="374151"/>
                  <w:sz w:val="24"/>
                  <w:szCs w:val="24"/>
                </w:rPr>
                <m:t>i</m:t>
              </m:r>
            </m:sub>
          </m:sSub>
          <m:r>
            <w:rPr>
              <w:rFonts w:ascii="Cambria Math" w:eastAsia="Roboto" w:hAnsi="Cambria Math" w:cs="Times New Roman"/>
              <w:color w:val="374151"/>
              <w:sz w:val="24"/>
              <w:szCs w:val="24"/>
            </w:rPr>
            <m:t>=0</m:t>
          </m:r>
        </m:oMath>
      </m:oMathPara>
    </w:p>
    <w:p w14:paraId="5CC9D13A" w14:textId="30786CF4" w:rsidR="008C6274" w:rsidRPr="00212DDD" w:rsidRDefault="00297985" w:rsidP="00212DDD">
      <w:pPr>
        <w:jc w:val="both"/>
        <w:rPr>
          <w:rFonts w:ascii="Times New Roman" w:hAnsi="Times New Roman" w:cs="Times New Roman"/>
          <w:color w:val="374151"/>
          <w:sz w:val="24"/>
          <w:szCs w:val="24"/>
        </w:rPr>
      </w:pPr>
      <m:oMathPara>
        <m:oMath>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γ</m:t>
              </m:r>
            </m:e>
            <m:sub>
              <m:r>
                <w:rPr>
                  <w:rFonts w:ascii="Cambria Math" w:eastAsia="Roboto" w:hAnsi="Cambria Math" w:cs="Times New Roman"/>
                  <w:color w:val="374151"/>
                  <w:sz w:val="24"/>
                  <w:szCs w:val="24"/>
                </w:rPr>
                <m:t>t</m:t>
              </m:r>
            </m:sub>
          </m:sSub>
          <m:r>
            <w:rPr>
              <w:rFonts w:ascii="Cambria Math" w:eastAsia="Roboto" w:hAnsi="Cambria Math" w:cs="Times New Roman"/>
              <w:color w:val="374151"/>
              <w:sz w:val="24"/>
              <w:szCs w:val="24"/>
            </w:rPr>
            <m:t>=0</m:t>
          </m:r>
        </m:oMath>
      </m:oMathPara>
    </w:p>
    <w:p w14:paraId="16F8A090" w14:textId="77777777" w:rsidR="00297985" w:rsidRPr="00212DDD" w:rsidRDefault="00297985" w:rsidP="00212DDD">
      <w:pPr>
        <w:jc w:val="both"/>
        <w:rPr>
          <w:rFonts w:ascii="Times New Roman" w:hAnsi="Times New Roman" w:cs="Times New Roman"/>
          <w:sz w:val="24"/>
          <w:szCs w:val="24"/>
        </w:rPr>
      </w:pPr>
    </w:p>
    <w:p w14:paraId="4210964A" w14:textId="77777777" w:rsidR="008C6274" w:rsidRPr="00212DDD" w:rsidRDefault="008C6274" w:rsidP="00212DDD">
      <w:pPr>
        <w:jc w:val="both"/>
        <w:rPr>
          <w:rFonts w:ascii="Times New Roman" w:hAnsi="Times New Roman" w:cs="Times New Roman"/>
          <w:sz w:val="24"/>
          <w:szCs w:val="24"/>
        </w:rPr>
      </w:pPr>
    </w:p>
    <w:p w14:paraId="7C9C467D" w14:textId="659E242A" w:rsidR="008C6274" w:rsidRPr="00212DDD" w:rsidRDefault="00801C06" w:rsidP="00212DDD">
      <w:pPr>
        <w:jc w:val="both"/>
        <w:rPr>
          <w:rFonts w:ascii="Times New Roman" w:hAnsi="Times New Roman" w:cs="Times New Roman"/>
          <w:sz w:val="24"/>
          <w:szCs w:val="24"/>
        </w:rPr>
      </w:pPr>
      <m:oMath>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FSK</m:t>
            </m:r>
          </m:e>
          <m:sub>
            <m:r>
              <w:rPr>
                <w:rFonts w:ascii="Cambria Math" w:eastAsia="Roboto" w:hAnsi="Cambria Math" w:cs="Times New Roman"/>
                <w:color w:val="374151"/>
                <w:sz w:val="24"/>
                <w:szCs w:val="24"/>
              </w:rPr>
              <m:t>it</m:t>
            </m:r>
          </m:sub>
        </m:sSub>
        <m:r>
          <m:rPr>
            <m:sty m:val="p"/>
          </m:rPr>
          <w:rPr>
            <w:rFonts w:ascii="Cambria Math" w:hAnsi="Cambria Math" w:cs="Times New Roman"/>
            <w:sz w:val="24"/>
            <w:szCs w:val="24"/>
          </w:rPr>
          <m:t>​=</m:t>
        </m:r>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α</m:t>
            </m:r>
          </m:e>
          <m:sub>
            <m:r>
              <w:rPr>
                <w:rFonts w:ascii="Cambria Math" w:eastAsia="Roboto" w:hAnsi="Cambria Math" w:cs="Times New Roman"/>
                <w:color w:val="374151"/>
                <w:sz w:val="24"/>
                <w:szCs w:val="24"/>
              </w:rPr>
              <m:t>i</m:t>
            </m:r>
          </m:sub>
        </m:sSub>
        <m:r>
          <w:rPr>
            <w:rFonts w:ascii="Cambria Math" w:eastAsia="Roboto" w:hAnsi="Cambria Math" w:cs="Times New Roman"/>
            <w:color w:val="374151"/>
            <w:sz w:val="24"/>
            <w:szCs w:val="24"/>
          </w:rPr>
          <m:t>+</m:t>
        </m:r>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βg</m:t>
            </m:r>
          </m:e>
          <m:sub>
            <m:r>
              <w:rPr>
                <w:rFonts w:ascii="Cambria Math" w:eastAsia="Roboto" w:hAnsi="Cambria Math" w:cs="Times New Roman"/>
                <w:color w:val="374151"/>
                <w:sz w:val="24"/>
                <w:szCs w:val="24"/>
              </w:rPr>
              <m:t>it</m:t>
            </m:r>
          </m:sub>
        </m:sSub>
        <m:r>
          <w:rPr>
            <w:rFonts w:ascii="Cambria Math" w:eastAsia="Roboto" w:hAnsi="Cambria Math" w:cs="Times New Roman"/>
            <w:color w:val="374151"/>
            <w:sz w:val="24"/>
            <w:szCs w:val="24"/>
          </w:rPr>
          <m:t>+</m:t>
        </m:r>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h</m:t>
            </m:r>
          </m:e>
          <m:sub>
            <m:r>
              <w:rPr>
                <w:rFonts w:ascii="Cambria Math" w:eastAsia="Roboto" w:hAnsi="Cambria Math" w:cs="Times New Roman"/>
                <w:color w:val="374151"/>
                <w:sz w:val="24"/>
                <w:szCs w:val="24"/>
              </w:rPr>
              <m:t>it</m:t>
            </m:r>
          </m:sub>
        </m:sSub>
      </m:oMath>
      <w:r w:rsidR="008C6274" w:rsidRPr="00212DDD">
        <w:rPr>
          <w:rFonts w:ascii="Times New Roman" w:hAnsi="Times New Roman" w:cs="Times New Roman"/>
          <w:sz w:val="24"/>
          <w:szCs w:val="24"/>
        </w:rPr>
        <w:t xml:space="preserve">​ </w:t>
      </w:r>
      <w:r w:rsidR="00297985" w:rsidRPr="00212DDD">
        <w:rPr>
          <w:rFonts w:ascii="Times New Roman" w:hAnsi="Times New Roman" w:cs="Times New Roman"/>
          <w:sz w:val="24"/>
          <w:szCs w:val="24"/>
        </w:rPr>
        <w:t>… (6</w:t>
      </w:r>
      <w:r w:rsidR="008C6274" w:rsidRPr="00212DDD">
        <w:rPr>
          <w:rFonts w:ascii="Times New Roman" w:hAnsi="Times New Roman" w:cs="Times New Roman"/>
          <w:sz w:val="24"/>
          <w:szCs w:val="24"/>
        </w:rPr>
        <w:t>)</w:t>
      </w:r>
    </w:p>
    <w:p w14:paraId="56E725A6" w14:textId="7B3B9D28" w:rsidR="008C6274" w:rsidRPr="00212DDD" w:rsidRDefault="00297985" w:rsidP="00212DDD">
      <w:pPr>
        <w:jc w:val="both"/>
        <w:rPr>
          <w:rFonts w:ascii="Times New Roman" w:hAnsi="Times New Roman" w:cs="Times New Roman"/>
          <w:sz w:val="24"/>
          <w:szCs w:val="24"/>
        </w:rPr>
      </w:pPr>
      <m:oMath>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FSK</m:t>
            </m:r>
          </m:e>
          <m:sub>
            <m:r>
              <w:rPr>
                <w:rFonts w:ascii="Cambria Math" w:eastAsia="Roboto" w:hAnsi="Cambria Math" w:cs="Times New Roman"/>
                <w:color w:val="374151"/>
                <w:sz w:val="24"/>
                <w:szCs w:val="24"/>
              </w:rPr>
              <m:t>it</m:t>
            </m:r>
          </m:sub>
        </m:sSub>
        <m:r>
          <m:rPr>
            <m:sty m:val="p"/>
          </m:rPr>
          <w:rPr>
            <w:rFonts w:ascii="Cambria Math" w:hAnsi="Cambria Math" w:cs="Times New Roman"/>
            <w:sz w:val="24"/>
            <w:szCs w:val="24"/>
          </w:rPr>
          <m:t>​=</m:t>
        </m:r>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γ</m:t>
            </m:r>
          </m:e>
          <m:sub>
            <m:r>
              <w:rPr>
                <w:rFonts w:ascii="Cambria Math" w:eastAsia="Roboto" w:hAnsi="Cambria Math" w:cs="Times New Roman"/>
                <w:color w:val="374151"/>
                <w:sz w:val="24"/>
                <w:szCs w:val="24"/>
              </w:rPr>
              <m:t>t</m:t>
            </m:r>
          </m:sub>
        </m:sSub>
        <m:r>
          <m:rPr>
            <m:sty m:val="p"/>
          </m:rPr>
          <w:rPr>
            <w:rFonts w:ascii="Cambria Math" w:hAnsi="Cambria Math" w:cs="Times New Roman"/>
            <w:sz w:val="24"/>
            <w:szCs w:val="24"/>
          </w:rPr>
          <m:t xml:space="preserve"> </m:t>
        </m:r>
        <m:r>
          <w:rPr>
            <w:rFonts w:ascii="Cambria Math" w:eastAsia="Roboto" w:hAnsi="Cambria Math" w:cs="Times New Roman"/>
            <w:color w:val="374151"/>
            <w:sz w:val="24"/>
            <w:szCs w:val="24"/>
          </w:rPr>
          <m:t>+</m:t>
        </m:r>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βg</m:t>
            </m:r>
          </m:e>
          <m:sub>
            <m:r>
              <w:rPr>
                <w:rFonts w:ascii="Cambria Math" w:eastAsia="Roboto" w:hAnsi="Cambria Math" w:cs="Times New Roman"/>
                <w:color w:val="374151"/>
                <w:sz w:val="24"/>
                <w:szCs w:val="24"/>
              </w:rPr>
              <m:t>it</m:t>
            </m:r>
          </m:sub>
        </m:sSub>
        <m:r>
          <w:rPr>
            <w:rFonts w:ascii="Cambria Math" w:eastAsia="Roboto" w:hAnsi="Cambria Math" w:cs="Times New Roman"/>
            <w:color w:val="374151"/>
            <w:sz w:val="24"/>
            <w:szCs w:val="24"/>
          </w:rPr>
          <m:t>+</m:t>
        </m:r>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h</m:t>
            </m:r>
          </m:e>
          <m:sub>
            <m:r>
              <w:rPr>
                <w:rFonts w:ascii="Cambria Math" w:eastAsia="Roboto" w:hAnsi="Cambria Math" w:cs="Times New Roman"/>
                <w:color w:val="374151"/>
                <w:sz w:val="24"/>
                <w:szCs w:val="24"/>
              </w:rPr>
              <m:t>it</m:t>
            </m:r>
          </m:sub>
        </m:sSub>
      </m:oMath>
      <w:r w:rsidRPr="00212DDD">
        <w:rPr>
          <w:rFonts w:ascii="Times New Roman" w:hAnsi="Times New Roman" w:cs="Times New Roman"/>
          <w:sz w:val="24"/>
          <w:szCs w:val="24"/>
        </w:rPr>
        <w:t xml:space="preserve">​ </w:t>
      </w:r>
      <w:proofErr w:type="gramStart"/>
      <w:r w:rsidRPr="00212DDD">
        <w:rPr>
          <w:rFonts w:ascii="Times New Roman" w:hAnsi="Times New Roman" w:cs="Times New Roman"/>
          <w:sz w:val="24"/>
          <w:szCs w:val="24"/>
        </w:rPr>
        <w:t>…(</w:t>
      </w:r>
      <w:proofErr w:type="gramEnd"/>
      <w:r w:rsidRPr="00212DDD">
        <w:rPr>
          <w:rFonts w:ascii="Times New Roman" w:hAnsi="Times New Roman" w:cs="Times New Roman"/>
          <w:sz w:val="24"/>
          <w:szCs w:val="24"/>
        </w:rPr>
        <w:t>7)</w:t>
      </w:r>
    </w:p>
    <w:p w14:paraId="3908FE71" w14:textId="77777777" w:rsidR="00297985" w:rsidRPr="00212DDD" w:rsidRDefault="00297985" w:rsidP="00212DDD">
      <w:pPr>
        <w:jc w:val="both"/>
        <w:rPr>
          <w:rFonts w:ascii="Times New Roman" w:hAnsi="Times New Roman" w:cs="Times New Roman"/>
          <w:sz w:val="24"/>
          <w:szCs w:val="24"/>
        </w:rPr>
      </w:pPr>
    </w:p>
    <w:p w14:paraId="6235CE9F" w14:textId="77777777" w:rsidR="00347370" w:rsidRPr="00212DDD" w:rsidRDefault="00347370" w:rsidP="00212DDD">
      <w:pPr>
        <w:jc w:val="both"/>
        <w:rPr>
          <w:rFonts w:ascii="Times New Roman" w:hAnsi="Times New Roman" w:cs="Times New Roman"/>
          <w:sz w:val="24"/>
          <w:szCs w:val="24"/>
        </w:rPr>
      </w:pPr>
      <w:r w:rsidRPr="00212DDD">
        <w:rPr>
          <w:rFonts w:ascii="Times New Roman" w:hAnsi="Times New Roman" w:cs="Times New Roman"/>
          <w:sz w:val="24"/>
          <w:szCs w:val="24"/>
        </w:rPr>
        <w:t>Where:</w:t>
      </w:r>
    </w:p>
    <w:p w14:paraId="047724AC" w14:textId="77777777" w:rsidR="00A30EA0" w:rsidRPr="00212DDD" w:rsidRDefault="00801C06" w:rsidP="00212DDD">
      <w:pPr>
        <w:jc w:val="both"/>
        <w:rPr>
          <w:rFonts w:ascii="Times New Roman" w:hAnsi="Times New Roman" w:cs="Times New Roman"/>
          <w:sz w:val="24"/>
          <w:szCs w:val="24"/>
        </w:rPr>
      </w:pPr>
      <m:oMath>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α</m:t>
            </m:r>
          </m:e>
          <m:sub>
            <m:r>
              <w:rPr>
                <w:rFonts w:ascii="Cambria Math" w:eastAsia="Roboto" w:hAnsi="Cambria Math" w:cs="Times New Roman"/>
                <w:color w:val="374151"/>
                <w:sz w:val="24"/>
                <w:szCs w:val="24"/>
              </w:rPr>
              <m:t>i</m:t>
            </m:r>
          </m:sub>
        </m:sSub>
      </m:oMath>
      <w:r w:rsidR="00347370" w:rsidRPr="00212DDD">
        <w:rPr>
          <w:rFonts w:ascii="Times New Roman" w:hAnsi="Times New Roman" w:cs="Times New Roman"/>
          <w:sz w:val="24"/>
          <w:szCs w:val="24"/>
        </w:rPr>
        <w:t xml:space="preserve"> </w:t>
      </w:r>
      <w:proofErr w:type="gramStart"/>
      <w:r w:rsidR="00347370" w:rsidRPr="00212DDD">
        <w:rPr>
          <w:rFonts w:ascii="Times New Roman" w:hAnsi="Times New Roman" w:cs="Times New Roman"/>
          <w:sz w:val="24"/>
          <w:szCs w:val="24"/>
        </w:rPr>
        <w:t>is</w:t>
      </w:r>
      <w:proofErr w:type="gramEnd"/>
      <w:r w:rsidR="00347370" w:rsidRPr="00212DDD">
        <w:rPr>
          <w:rFonts w:ascii="Times New Roman" w:hAnsi="Times New Roman" w:cs="Times New Roman"/>
          <w:sz w:val="24"/>
          <w:szCs w:val="24"/>
        </w:rPr>
        <w:t xml:space="preserve"> the unobservable specific cross-section effects</w:t>
      </w:r>
    </w:p>
    <w:p w14:paraId="4544A133" w14:textId="0E1055FE" w:rsidR="00347370" w:rsidRPr="00212DDD" w:rsidRDefault="00A30EA0" w:rsidP="00212DDD">
      <w:pPr>
        <w:jc w:val="both"/>
        <w:rPr>
          <w:rFonts w:ascii="Times New Roman" w:hAnsi="Times New Roman" w:cs="Times New Roman"/>
          <w:sz w:val="24"/>
          <w:szCs w:val="24"/>
        </w:rPr>
      </w:pPr>
      <m:oMath>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γ</m:t>
            </m:r>
          </m:e>
          <m:sub>
            <m:r>
              <w:rPr>
                <w:rFonts w:ascii="Cambria Math" w:eastAsia="Roboto" w:hAnsi="Cambria Math" w:cs="Times New Roman"/>
                <w:color w:val="374151"/>
                <w:sz w:val="24"/>
                <w:szCs w:val="24"/>
              </w:rPr>
              <m:t>t</m:t>
            </m:r>
          </m:sub>
        </m:sSub>
      </m:oMath>
      <w:r w:rsidRPr="00212DDD">
        <w:rPr>
          <w:rFonts w:ascii="Times New Roman" w:hAnsi="Times New Roman" w:cs="Times New Roman"/>
          <w:sz w:val="24"/>
          <w:szCs w:val="24"/>
        </w:rPr>
        <w:t xml:space="preserve"> </w:t>
      </w:r>
      <w:proofErr w:type="gramStart"/>
      <w:r w:rsidRPr="00212DDD">
        <w:rPr>
          <w:rFonts w:ascii="Times New Roman" w:hAnsi="Times New Roman" w:cs="Times New Roman"/>
          <w:sz w:val="24"/>
          <w:szCs w:val="24"/>
        </w:rPr>
        <w:t>Unobservable specific time effects</w:t>
      </w:r>
      <w:r w:rsidR="00347370" w:rsidRPr="00212DDD">
        <w:rPr>
          <w:rFonts w:ascii="Times New Roman" w:hAnsi="Times New Roman" w:cs="Times New Roman"/>
          <w:sz w:val="24"/>
          <w:szCs w:val="24"/>
        </w:rPr>
        <w:t>.</w:t>
      </w:r>
      <w:proofErr w:type="gramEnd"/>
    </w:p>
    <w:p w14:paraId="2653F59A" w14:textId="117A5D2E" w:rsidR="00347370" w:rsidRPr="00212DDD" w:rsidRDefault="00801C06" w:rsidP="00212DDD">
      <w:pPr>
        <w:jc w:val="both"/>
        <w:rPr>
          <w:rFonts w:ascii="Times New Roman" w:hAnsi="Times New Roman" w:cs="Times New Roman"/>
          <w:sz w:val="24"/>
          <w:szCs w:val="24"/>
        </w:rPr>
      </w:pPr>
      <m:oMath>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h</m:t>
            </m:r>
          </m:e>
          <m:sub>
            <m:r>
              <w:rPr>
                <w:rFonts w:ascii="Cambria Math" w:eastAsia="Roboto" w:hAnsi="Cambria Math" w:cs="Times New Roman"/>
                <w:color w:val="374151"/>
                <w:sz w:val="24"/>
                <w:szCs w:val="24"/>
              </w:rPr>
              <m:t>it</m:t>
            </m:r>
          </m:sub>
        </m:sSub>
      </m:oMath>
      <w:r w:rsidR="00347370" w:rsidRPr="00212DDD">
        <w:rPr>
          <w:rFonts w:ascii="Times New Roman" w:hAnsi="Times New Roman" w:cs="Times New Roman"/>
          <w:sz w:val="24"/>
          <w:szCs w:val="24"/>
        </w:rPr>
        <w:t xml:space="preserve">​ </w:t>
      </w:r>
      <w:proofErr w:type="gramStart"/>
      <w:r w:rsidR="00347370" w:rsidRPr="00212DDD">
        <w:rPr>
          <w:rFonts w:ascii="Times New Roman" w:hAnsi="Times New Roman" w:cs="Times New Roman"/>
          <w:sz w:val="24"/>
          <w:szCs w:val="24"/>
        </w:rPr>
        <w:t>is</w:t>
      </w:r>
      <w:proofErr w:type="gramEnd"/>
      <w:r w:rsidR="00347370" w:rsidRPr="00212DDD">
        <w:rPr>
          <w:rFonts w:ascii="Times New Roman" w:hAnsi="Times New Roman" w:cs="Times New Roman"/>
          <w:sz w:val="24"/>
          <w:szCs w:val="24"/>
        </w:rPr>
        <w:t xml:space="preserve"> the mutual cross-section time series effect.</w:t>
      </w:r>
    </w:p>
    <w:p w14:paraId="48D03BB5" w14:textId="77777777" w:rsidR="008C6274" w:rsidRPr="00212DDD" w:rsidRDefault="008C6274" w:rsidP="00212DDD">
      <w:pPr>
        <w:jc w:val="both"/>
        <w:rPr>
          <w:rFonts w:ascii="Times New Roman" w:hAnsi="Times New Roman" w:cs="Times New Roman"/>
          <w:sz w:val="24"/>
          <w:szCs w:val="24"/>
        </w:rPr>
      </w:pPr>
    </w:p>
    <w:p w14:paraId="384CB546" w14:textId="3C249FD9" w:rsidR="008C6274" w:rsidRPr="00212DDD" w:rsidRDefault="00EE4FD5" w:rsidP="00EE4FD5">
      <w:pPr>
        <w:jc w:val="both"/>
        <w:rPr>
          <w:rFonts w:ascii="Times New Roman" w:hAnsi="Times New Roman" w:cs="Times New Roman"/>
          <w:sz w:val="24"/>
          <w:szCs w:val="24"/>
        </w:rPr>
      </w:pPr>
      <w:r>
        <w:rPr>
          <w:rFonts w:ascii="Times New Roman" w:hAnsi="Times New Roman" w:cs="Times New Roman"/>
          <w:sz w:val="24"/>
          <w:szCs w:val="24"/>
        </w:rPr>
        <w:t>Hence</w:t>
      </w:r>
      <w:r w:rsidR="008C6274" w:rsidRPr="00212DDD">
        <w:rPr>
          <w:rFonts w:ascii="Times New Roman" w:hAnsi="Times New Roman" w:cs="Times New Roman"/>
          <w:sz w:val="24"/>
          <w:szCs w:val="24"/>
        </w:rPr>
        <w:t xml:space="preserve">, if </w:t>
      </w:r>
      <m:oMath>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γ</m:t>
            </m:r>
          </m:e>
          <m:sub>
            <m:r>
              <w:rPr>
                <w:rFonts w:ascii="Cambria Math" w:eastAsia="Roboto" w:hAnsi="Cambria Math" w:cs="Times New Roman"/>
                <w:color w:val="374151"/>
                <w:sz w:val="24"/>
                <w:szCs w:val="24"/>
              </w:rPr>
              <m:t>t</m:t>
            </m:r>
          </m:sub>
        </m:sSub>
        <m:r>
          <m:rPr>
            <m:sty m:val="p"/>
          </m:rPr>
          <w:rPr>
            <w:rFonts w:ascii="Cambria Math" w:hAnsi="Cambria Math" w:cs="Times New Roman"/>
            <w:sz w:val="24"/>
            <w:szCs w:val="24"/>
          </w:rPr>
          <m:t xml:space="preserve"> </m:t>
        </m:r>
        <m:r>
          <w:rPr>
            <w:rFonts w:ascii="Cambria Math" w:eastAsia="Roboto" w:hAnsi="Cambria Math" w:cs="Times New Roman"/>
            <w:color w:val="374151"/>
            <w:sz w:val="24"/>
            <w:szCs w:val="24"/>
          </w:rPr>
          <m:t>=0</m:t>
        </m:r>
      </m:oMath>
      <w:r w:rsidR="008C6274" w:rsidRPr="00212DDD">
        <w:rPr>
          <w:rFonts w:ascii="Times New Roman" w:hAnsi="Times New Roman" w:cs="Times New Roman"/>
          <w:color w:val="374151"/>
          <w:sz w:val="24"/>
          <w:szCs w:val="24"/>
        </w:rPr>
        <w:t xml:space="preserve"> </w:t>
      </w:r>
      <w:r w:rsidR="00297985" w:rsidRPr="00212DDD">
        <w:rPr>
          <w:rFonts w:ascii="Times New Roman" w:hAnsi="Times New Roman" w:cs="Times New Roman"/>
          <w:sz w:val="24"/>
          <w:szCs w:val="24"/>
        </w:rPr>
        <w:t>in equation (7</w:t>
      </w:r>
      <w:r w:rsidR="008C6274" w:rsidRPr="00212DDD">
        <w:rPr>
          <w:rFonts w:ascii="Times New Roman" w:hAnsi="Times New Roman" w:cs="Times New Roman"/>
          <w:sz w:val="24"/>
          <w:szCs w:val="24"/>
        </w:rPr>
        <w:t xml:space="preserve">), </w:t>
      </w:r>
      <w:r w:rsidRPr="00EE4FD5">
        <w:rPr>
          <w:rFonts w:ascii="Times New Roman" w:hAnsi="Times New Roman" w:cs="Times New Roman"/>
          <w:sz w:val="24"/>
          <w:szCs w:val="24"/>
        </w:rPr>
        <w:t>it signifies a unidirectional temporally specific effects paradigm. The amalgamation of equations (6) and (7) infers the presence of cross-sectional and temporally specific effects paradigm, denoting a bid</w:t>
      </w:r>
      <w:r>
        <w:rPr>
          <w:rFonts w:ascii="Times New Roman" w:hAnsi="Times New Roman" w:cs="Times New Roman"/>
          <w:sz w:val="24"/>
          <w:szCs w:val="24"/>
        </w:rPr>
        <w:t>irectional fixed effects regime</w:t>
      </w:r>
      <w:r w:rsidR="0022436F" w:rsidRPr="00212DDD">
        <w:rPr>
          <w:rFonts w:ascii="Times New Roman" w:hAnsi="Times New Roman" w:cs="Times New Roman"/>
          <w:sz w:val="24"/>
          <w:szCs w:val="24"/>
        </w:rPr>
        <w:t>:</w:t>
      </w:r>
    </w:p>
    <w:p w14:paraId="30D3A506" w14:textId="77777777" w:rsidR="0022436F" w:rsidRPr="00212DDD" w:rsidRDefault="0022436F" w:rsidP="00212DDD">
      <w:pPr>
        <w:jc w:val="both"/>
        <w:rPr>
          <w:rFonts w:ascii="Times New Roman" w:hAnsi="Times New Roman" w:cs="Times New Roman"/>
          <w:sz w:val="24"/>
          <w:szCs w:val="24"/>
        </w:rPr>
      </w:pPr>
    </w:p>
    <w:p w14:paraId="27203151" w14:textId="3A14D987" w:rsidR="0022436F" w:rsidRPr="00212DDD" w:rsidRDefault="00801C06" w:rsidP="00212DDD">
      <w:pPr>
        <w:jc w:val="both"/>
        <w:rPr>
          <w:rFonts w:ascii="Times New Roman" w:hAnsi="Times New Roman" w:cs="Times New Roman"/>
          <w:color w:val="374151"/>
          <w:sz w:val="24"/>
          <w:szCs w:val="24"/>
        </w:rPr>
      </w:pPr>
      <m:oMath>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FSK</m:t>
            </m:r>
          </m:e>
          <m:sub>
            <m:r>
              <w:rPr>
                <w:rFonts w:ascii="Cambria Math" w:eastAsia="Roboto" w:hAnsi="Cambria Math" w:cs="Times New Roman"/>
                <w:color w:val="374151"/>
                <w:sz w:val="24"/>
                <w:szCs w:val="24"/>
              </w:rPr>
              <m:t>it</m:t>
            </m:r>
          </m:sub>
        </m:sSub>
        <m:r>
          <m:rPr>
            <m:sty m:val="p"/>
          </m:rPr>
          <w:rPr>
            <w:rFonts w:ascii="Cambria Math" w:hAnsi="Cambria Math" w:cs="Times New Roman"/>
            <w:sz w:val="24"/>
            <w:szCs w:val="24"/>
          </w:rPr>
          <m:t>​=</m:t>
        </m:r>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βg</m:t>
            </m:r>
          </m:e>
          <m:sub>
            <m:r>
              <w:rPr>
                <w:rFonts w:ascii="Cambria Math" w:eastAsia="Roboto" w:hAnsi="Cambria Math" w:cs="Times New Roman"/>
                <w:color w:val="374151"/>
                <w:sz w:val="24"/>
                <w:szCs w:val="24"/>
              </w:rPr>
              <m:t>it</m:t>
            </m:r>
          </m:sub>
        </m:sSub>
        <m:r>
          <w:rPr>
            <w:rFonts w:ascii="Cambria Math" w:eastAsia="Roboto" w:hAnsi="Cambria Math" w:cs="Times New Roman"/>
            <w:color w:val="374151"/>
            <w:sz w:val="24"/>
            <w:szCs w:val="24"/>
          </w:rPr>
          <m:t>+α+</m:t>
        </m:r>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μ</m:t>
            </m:r>
          </m:e>
          <m:sub>
            <m:r>
              <w:rPr>
                <w:rFonts w:ascii="Cambria Math" w:eastAsia="Roboto" w:hAnsi="Cambria Math" w:cs="Times New Roman"/>
                <w:color w:val="374151"/>
                <w:sz w:val="24"/>
                <w:szCs w:val="24"/>
              </w:rPr>
              <m:t>i</m:t>
            </m:r>
          </m:sub>
        </m:sSub>
        <m:r>
          <w:rPr>
            <w:rFonts w:ascii="Cambria Math" w:eastAsia="Roboto" w:hAnsi="Cambria Math" w:cs="Times New Roman"/>
            <w:color w:val="374151"/>
            <w:sz w:val="24"/>
            <w:szCs w:val="24"/>
          </w:rPr>
          <m:t>+</m:t>
        </m:r>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h</m:t>
            </m:r>
          </m:e>
          <m:sub>
            <m:r>
              <w:rPr>
                <w:rFonts w:ascii="Cambria Math" w:eastAsia="Roboto" w:hAnsi="Cambria Math" w:cs="Times New Roman"/>
                <w:color w:val="374151"/>
                <w:sz w:val="24"/>
                <w:szCs w:val="24"/>
              </w:rPr>
              <m:t>it</m:t>
            </m:r>
          </m:sub>
        </m:sSub>
      </m:oMath>
      <w:r w:rsidR="00297985" w:rsidRPr="00212DDD">
        <w:rPr>
          <w:rFonts w:ascii="Times New Roman" w:hAnsi="Times New Roman" w:cs="Times New Roman"/>
          <w:color w:val="374151"/>
          <w:sz w:val="24"/>
          <w:szCs w:val="24"/>
        </w:rPr>
        <w:t xml:space="preserve"> </w:t>
      </w:r>
      <w:proofErr w:type="gramStart"/>
      <w:r w:rsidR="00297985" w:rsidRPr="00212DDD">
        <w:rPr>
          <w:rFonts w:ascii="Times New Roman" w:hAnsi="Times New Roman" w:cs="Times New Roman"/>
          <w:color w:val="374151"/>
          <w:sz w:val="24"/>
          <w:szCs w:val="24"/>
        </w:rPr>
        <w:t>…(</w:t>
      </w:r>
      <w:proofErr w:type="gramEnd"/>
      <w:r w:rsidR="00297985" w:rsidRPr="00212DDD">
        <w:rPr>
          <w:rFonts w:ascii="Times New Roman" w:hAnsi="Times New Roman" w:cs="Times New Roman"/>
          <w:color w:val="374151"/>
          <w:sz w:val="24"/>
          <w:szCs w:val="24"/>
        </w:rPr>
        <w:t>8</w:t>
      </w:r>
      <w:r w:rsidR="00A42B43" w:rsidRPr="00212DDD">
        <w:rPr>
          <w:rFonts w:ascii="Times New Roman" w:hAnsi="Times New Roman" w:cs="Times New Roman"/>
          <w:color w:val="374151"/>
          <w:sz w:val="24"/>
          <w:szCs w:val="24"/>
        </w:rPr>
        <w:t>)</w:t>
      </w:r>
    </w:p>
    <w:p w14:paraId="60699616" w14:textId="77777777" w:rsidR="00A42B43" w:rsidRPr="00212DDD" w:rsidRDefault="00A42B43" w:rsidP="00212DDD">
      <w:pPr>
        <w:jc w:val="both"/>
        <w:rPr>
          <w:rFonts w:ascii="Times New Roman" w:hAnsi="Times New Roman" w:cs="Times New Roman"/>
          <w:color w:val="374151"/>
          <w:sz w:val="24"/>
          <w:szCs w:val="24"/>
        </w:rPr>
      </w:pPr>
    </w:p>
    <w:p w14:paraId="5FD3AF25" w14:textId="77777777" w:rsidR="00EE4FD5" w:rsidRPr="00EE4FD5" w:rsidRDefault="00EE4FD5" w:rsidP="00EE4FD5">
      <w:pPr>
        <w:jc w:val="both"/>
        <w:rPr>
          <w:rFonts w:ascii="Times New Roman" w:hAnsi="Times New Roman" w:cs="Times New Roman"/>
          <w:sz w:val="24"/>
          <w:szCs w:val="24"/>
        </w:rPr>
      </w:pPr>
      <w:r w:rsidRPr="00EE4FD5">
        <w:rPr>
          <w:rFonts w:ascii="Times New Roman" w:hAnsi="Times New Roman" w:cs="Times New Roman"/>
          <w:sz w:val="24"/>
          <w:szCs w:val="24"/>
        </w:rPr>
        <w:t xml:space="preserve">Equation (8) denotes the stochastic effects paradigm, wherein 'a' signifies the shared intercept, and the </w:t>
      </w:r>
      <w:r>
        <w:rPr>
          <w:rFonts w:ascii="Times New Roman" w:hAnsi="Times New Roman" w:cs="Times New Roman"/>
          <w:sz w:val="24"/>
          <w:szCs w:val="24"/>
        </w:rPr>
        <w:t>error term</w:t>
      </w:r>
      <w:r w:rsidRPr="00EE4FD5">
        <w:rPr>
          <w:rFonts w:ascii="Times New Roman" w:hAnsi="Times New Roman" w:cs="Times New Roman"/>
          <w:sz w:val="24"/>
          <w:szCs w:val="24"/>
        </w:rPr>
        <w:t xml:space="preserve"> </w:t>
      </w:r>
      <w:proofErr w:type="gramStart"/>
      <w:r w:rsidRPr="00EE4FD5">
        <w:rPr>
          <w:rFonts w:ascii="Times New Roman" w:hAnsi="Times New Roman" w:cs="Times New Roman"/>
          <w:sz w:val="24"/>
          <w:szCs w:val="24"/>
        </w:rPr>
        <w:t>is</w:t>
      </w:r>
      <w:r>
        <w:rPr>
          <w:rFonts w:ascii="Times New Roman" w:hAnsi="Times New Roman" w:cs="Times New Roman"/>
          <w:sz w:val="24"/>
          <w:szCs w:val="24"/>
        </w:rPr>
        <w:t xml:space="preserve"> </w:t>
      </w:r>
      <w:proofErr w:type="gramEnd"/>
      <m:oMath>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ε</m:t>
            </m:r>
          </m:e>
          <m:sub>
            <m:r>
              <w:rPr>
                <w:rFonts w:ascii="Cambria Math" w:eastAsia="Roboto" w:hAnsi="Cambria Math" w:cs="Times New Roman"/>
                <w:color w:val="374151"/>
                <w:sz w:val="24"/>
                <w:szCs w:val="24"/>
              </w:rPr>
              <m:t>it</m:t>
            </m:r>
          </m:sub>
        </m:sSub>
        <m:r>
          <m:rPr>
            <m:sty m:val="p"/>
          </m:rPr>
          <w:rPr>
            <w:rFonts w:ascii="Cambria Math" w:hAnsi="Cambria Math" w:cs="Times New Roman"/>
            <w:sz w:val="24"/>
            <w:szCs w:val="24"/>
          </w:rPr>
          <m:t>​=</m:t>
        </m:r>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α</m:t>
            </m:r>
          </m:e>
          <m:sub>
            <m:r>
              <w:rPr>
                <w:rFonts w:ascii="Cambria Math" w:eastAsia="Roboto" w:hAnsi="Cambria Math" w:cs="Times New Roman"/>
                <w:color w:val="374151"/>
                <w:sz w:val="24"/>
                <w:szCs w:val="24"/>
              </w:rPr>
              <m:t>i</m:t>
            </m:r>
          </m:sub>
        </m:sSub>
        <m:r>
          <w:rPr>
            <w:rFonts w:ascii="Cambria Math" w:eastAsia="Roboto" w:hAnsi="Cambria Math" w:cs="Times New Roman"/>
            <w:color w:val="374151"/>
            <w:sz w:val="24"/>
            <w:szCs w:val="24"/>
          </w:rPr>
          <m:t>+</m:t>
        </m:r>
        <m:sSub>
          <m:sSubPr>
            <m:ctrlPr>
              <w:rPr>
                <w:rFonts w:ascii="Cambria Math" w:eastAsia="Roboto" w:hAnsi="Cambria Math" w:cs="Times New Roman"/>
                <w:i/>
                <w:color w:val="374151"/>
                <w:sz w:val="24"/>
                <w:szCs w:val="24"/>
              </w:rPr>
            </m:ctrlPr>
          </m:sSubPr>
          <m:e>
            <m:r>
              <w:rPr>
                <w:rFonts w:ascii="Cambria Math" w:eastAsia="Roboto" w:hAnsi="Cambria Math" w:cs="Times New Roman"/>
                <w:color w:val="374151"/>
                <w:sz w:val="24"/>
                <w:szCs w:val="24"/>
              </w:rPr>
              <m:t>h</m:t>
            </m:r>
          </m:e>
          <m:sub>
            <m:r>
              <w:rPr>
                <w:rFonts w:ascii="Cambria Math" w:eastAsia="Roboto" w:hAnsi="Cambria Math" w:cs="Times New Roman"/>
                <w:color w:val="374151"/>
                <w:sz w:val="24"/>
                <w:szCs w:val="24"/>
              </w:rPr>
              <m:t>it</m:t>
            </m:r>
          </m:sub>
        </m:sSub>
      </m:oMath>
      <w:r w:rsidR="00A42B43" w:rsidRPr="00212DDD">
        <w:rPr>
          <w:rFonts w:ascii="Times New Roman" w:hAnsi="Times New Roman" w:cs="Times New Roman"/>
          <w:sz w:val="24"/>
          <w:szCs w:val="24"/>
        </w:rPr>
        <w:t xml:space="preserve">. </w:t>
      </w:r>
      <w:r w:rsidRPr="00EE4FD5">
        <w:rPr>
          <w:rFonts w:ascii="Times New Roman" w:hAnsi="Times New Roman" w:cs="Times New Roman"/>
          <w:sz w:val="24"/>
          <w:szCs w:val="24"/>
        </w:rPr>
        <w:t>The bifurcation of the perturbation into two constituents elucidates the nomenclature of the model as the error components paradigm.</w:t>
      </w:r>
    </w:p>
    <w:p w14:paraId="56F30DA2" w14:textId="77777777" w:rsidR="00EE4FD5" w:rsidRPr="00EE4FD5" w:rsidRDefault="00EE4FD5" w:rsidP="00EE4FD5">
      <w:pPr>
        <w:jc w:val="both"/>
        <w:rPr>
          <w:rFonts w:ascii="Times New Roman" w:hAnsi="Times New Roman" w:cs="Times New Roman"/>
          <w:sz w:val="24"/>
          <w:szCs w:val="24"/>
        </w:rPr>
      </w:pPr>
    </w:p>
    <w:p w14:paraId="5CF6C0DD" w14:textId="455EEEF8" w:rsidR="008F34E4" w:rsidRPr="00212DDD" w:rsidRDefault="00EE4FD5" w:rsidP="00EE4FD5">
      <w:pPr>
        <w:jc w:val="both"/>
        <w:rPr>
          <w:rFonts w:ascii="Times New Roman" w:hAnsi="Times New Roman" w:cs="Times New Roman"/>
          <w:sz w:val="24"/>
          <w:szCs w:val="24"/>
        </w:rPr>
      </w:pPr>
      <w:r w:rsidRPr="00EE4FD5">
        <w:rPr>
          <w:rFonts w:ascii="Times New Roman" w:hAnsi="Times New Roman" w:cs="Times New Roman"/>
          <w:sz w:val="24"/>
          <w:szCs w:val="24"/>
        </w:rPr>
        <w:t>This framework facilitates the exploration of the associations between food security and the designated exogenous variables, encompassing both cross-sectional and temporally-specific ramifications. The parameters β</w:t>
      </w:r>
      <w:r w:rsidRPr="00EE4FD5">
        <w:rPr>
          <w:rFonts w:ascii="Times New Roman" w:hAnsi="Times New Roman" w:cs="Times New Roman"/>
          <w:sz w:val="24"/>
          <w:szCs w:val="24"/>
          <w:vertAlign w:val="subscript"/>
        </w:rPr>
        <w:t>0</w:t>
      </w:r>
      <w:r w:rsidRPr="00EE4FD5">
        <w:rPr>
          <w:rFonts w:ascii="Times New Roman" w:hAnsi="Times New Roman" w:cs="Times New Roman"/>
          <w:sz w:val="24"/>
          <w:szCs w:val="24"/>
        </w:rPr>
        <w:t>, β</w:t>
      </w:r>
      <w:r w:rsidRPr="00EE4FD5">
        <w:rPr>
          <w:rFonts w:ascii="Times New Roman" w:hAnsi="Times New Roman" w:cs="Times New Roman"/>
          <w:sz w:val="24"/>
          <w:szCs w:val="24"/>
          <w:vertAlign w:val="subscript"/>
        </w:rPr>
        <w:t>1</w:t>
      </w:r>
      <w:proofErr w:type="gramStart"/>
      <w:r w:rsidRPr="00EE4FD5">
        <w:rPr>
          <w:rFonts w:ascii="Times New Roman" w:hAnsi="Times New Roman" w:cs="Times New Roman"/>
          <w:sz w:val="24"/>
          <w:szCs w:val="24"/>
        </w:rPr>
        <w:t>,…,</w:t>
      </w:r>
      <w:proofErr w:type="gramEnd"/>
      <w:r w:rsidRPr="00EE4FD5">
        <w:rPr>
          <w:rFonts w:ascii="Times New Roman" w:hAnsi="Times New Roman" w:cs="Times New Roman"/>
          <w:sz w:val="24"/>
          <w:szCs w:val="24"/>
        </w:rPr>
        <w:t xml:space="preserve"> β</w:t>
      </w:r>
      <w:r w:rsidRPr="00EE4FD5">
        <w:rPr>
          <w:rFonts w:ascii="Times New Roman" w:hAnsi="Times New Roman" w:cs="Times New Roman"/>
          <w:sz w:val="24"/>
          <w:szCs w:val="24"/>
          <w:vertAlign w:val="subscript"/>
        </w:rPr>
        <w:t>6</w:t>
      </w:r>
      <w:r w:rsidRPr="00EE4FD5">
        <w:rPr>
          <w:rFonts w:ascii="Times New Roman" w:hAnsi="Times New Roman" w:cs="Times New Roman"/>
          <w:sz w:val="24"/>
          <w:szCs w:val="24"/>
        </w:rPr>
        <w:t xml:space="preserve"> delineate the impacts of the respective variables on food security. The perturbation term encapsulates latent factors influencing food security that evade incorporation within the model.</w:t>
      </w:r>
    </w:p>
    <w:p w14:paraId="0151B8CD" w14:textId="77777777" w:rsidR="008F34E4" w:rsidRPr="00212DDD" w:rsidRDefault="008F34E4" w:rsidP="00212DDD">
      <w:pPr>
        <w:jc w:val="both"/>
        <w:rPr>
          <w:rFonts w:ascii="Times New Roman" w:hAnsi="Times New Roman" w:cs="Times New Roman"/>
          <w:sz w:val="24"/>
          <w:szCs w:val="24"/>
        </w:rPr>
      </w:pPr>
    </w:p>
    <w:p w14:paraId="4D2634FF" w14:textId="711ACDB5" w:rsidR="00036867" w:rsidRPr="00212DDD" w:rsidRDefault="00036867" w:rsidP="00212DDD">
      <w:pPr>
        <w:jc w:val="both"/>
        <w:rPr>
          <w:rFonts w:ascii="Times New Roman" w:hAnsi="Times New Roman" w:cs="Times New Roman"/>
          <w:sz w:val="24"/>
          <w:szCs w:val="24"/>
        </w:rPr>
      </w:pPr>
      <w:r w:rsidRPr="00212DDD">
        <w:rPr>
          <w:rFonts w:ascii="Times New Roman" w:hAnsi="Times New Roman" w:cs="Times New Roman"/>
          <w:sz w:val="24"/>
          <w:szCs w:val="24"/>
        </w:rPr>
        <w:t>Where I =1</w:t>
      </w:r>
      <w:proofErr w:type="gramStart"/>
      <w:r w:rsidR="00C962D6" w:rsidRPr="00212DDD">
        <w:rPr>
          <w:rFonts w:ascii="Times New Roman" w:hAnsi="Times New Roman" w:cs="Times New Roman"/>
          <w:sz w:val="24"/>
          <w:szCs w:val="24"/>
        </w:rPr>
        <w:t>, …</w:t>
      </w:r>
      <w:r w:rsidRPr="00212DDD">
        <w:rPr>
          <w:rFonts w:ascii="Times New Roman" w:hAnsi="Times New Roman" w:cs="Times New Roman"/>
          <w:sz w:val="24"/>
          <w:szCs w:val="24"/>
        </w:rPr>
        <w:t>,</w:t>
      </w:r>
      <w:proofErr w:type="gramEnd"/>
      <w:r w:rsidRPr="00212DDD">
        <w:rPr>
          <w:rFonts w:ascii="Times New Roman" w:hAnsi="Times New Roman" w:cs="Times New Roman"/>
          <w:sz w:val="24"/>
          <w:szCs w:val="24"/>
        </w:rPr>
        <w:t xml:space="preserve"> 50; t =2000, 2001 … , 2022</w:t>
      </w:r>
    </w:p>
    <w:p w14:paraId="4BEF0D36" w14:textId="77777777" w:rsidR="00433737" w:rsidRPr="00212DDD" w:rsidRDefault="00433737" w:rsidP="00212DDD">
      <w:pPr>
        <w:jc w:val="both"/>
        <w:rPr>
          <w:rFonts w:ascii="Times New Roman" w:hAnsi="Times New Roman" w:cs="Times New Roman"/>
          <w:sz w:val="24"/>
          <w:szCs w:val="24"/>
        </w:rPr>
      </w:pPr>
    </w:p>
    <w:p w14:paraId="14477705" w14:textId="683F5EDE" w:rsidR="008F34E4" w:rsidRDefault="00EE4FD5" w:rsidP="00212DDD">
      <w:pPr>
        <w:jc w:val="both"/>
        <w:rPr>
          <w:rFonts w:ascii="Times New Roman" w:hAnsi="Times New Roman" w:cs="Times New Roman"/>
          <w:sz w:val="24"/>
          <w:szCs w:val="24"/>
        </w:rPr>
      </w:pPr>
      <w:r w:rsidRPr="00EE4FD5">
        <w:rPr>
          <w:rFonts w:ascii="Times New Roman" w:hAnsi="Times New Roman" w:cs="Times New Roman"/>
          <w:sz w:val="24"/>
          <w:szCs w:val="24"/>
        </w:rPr>
        <w:t xml:space="preserve">The </w:t>
      </w:r>
      <w:proofErr w:type="spellStart"/>
      <w:r w:rsidRPr="00EE4FD5">
        <w:rPr>
          <w:rFonts w:ascii="Times New Roman" w:hAnsi="Times New Roman" w:cs="Times New Roman"/>
          <w:sz w:val="24"/>
          <w:szCs w:val="24"/>
        </w:rPr>
        <w:t>Hausman</w:t>
      </w:r>
      <w:proofErr w:type="spellEnd"/>
      <w:r w:rsidRPr="00EE4FD5">
        <w:rPr>
          <w:rFonts w:ascii="Times New Roman" w:hAnsi="Times New Roman" w:cs="Times New Roman"/>
          <w:sz w:val="24"/>
          <w:szCs w:val="24"/>
        </w:rPr>
        <w:t xml:space="preserve"> model serves as a statistical examination utilized to ascertain the suitability between the random effects model and the fixed effects model for panel data scrutiny. It aids researchers in discerning whether panel data analysis warrants a model accommodating random effects (random intercepts) or one incorporating fixed effects (individual-specific intercepts). The </w:t>
      </w:r>
      <w:proofErr w:type="spellStart"/>
      <w:r w:rsidRPr="00EE4FD5">
        <w:rPr>
          <w:rFonts w:ascii="Times New Roman" w:hAnsi="Times New Roman" w:cs="Times New Roman"/>
          <w:sz w:val="24"/>
          <w:szCs w:val="24"/>
        </w:rPr>
        <w:t>Hausman</w:t>
      </w:r>
      <w:proofErr w:type="spellEnd"/>
      <w:r w:rsidRPr="00EE4FD5">
        <w:rPr>
          <w:rFonts w:ascii="Times New Roman" w:hAnsi="Times New Roman" w:cs="Times New Roman"/>
          <w:sz w:val="24"/>
          <w:szCs w:val="24"/>
        </w:rPr>
        <w:t xml:space="preserve"> test statistic is derived through the following computation:</w:t>
      </w:r>
    </w:p>
    <w:p w14:paraId="62275EC9" w14:textId="77777777" w:rsidR="00EE4FD5" w:rsidRPr="00212DDD" w:rsidRDefault="00EE4FD5" w:rsidP="00212DDD">
      <w:pPr>
        <w:jc w:val="both"/>
        <w:rPr>
          <w:rFonts w:ascii="Times New Roman" w:hAnsi="Times New Roman" w:cs="Times New Roman"/>
          <w:sz w:val="24"/>
          <w:szCs w:val="24"/>
        </w:rPr>
      </w:pPr>
    </w:p>
    <w:p w14:paraId="14ADB184" w14:textId="56EB7497" w:rsidR="008F34E4" w:rsidRPr="00212DDD" w:rsidRDefault="008F34E4" w:rsidP="00212DDD">
      <w:pPr>
        <w:jc w:val="both"/>
        <w:rPr>
          <w:rStyle w:val="mclose"/>
          <w:rFonts w:ascii="Times New Roman" w:hAnsi="Times New Roman" w:cs="Times New Roman"/>
          <w:color w:val="0D0D0D"/>
          <w:sz w:val="24"/>
          <w:szCs w:val="24"/>
          <w:shd w:val="clear" w:color="auto" w:fill="FFFFFF"/>
        </w:rPr>
      </w:pPr>
      <w:r w:rsidRPr="00212DDD">
        <w:rPr>
          <w:rStyle w:val="mord"/>
          <w:rFonts w:ascii="Times New Roman" w:hAnsi="Times New Roman" w:cs="Times New Roman"/>
          <w:i/>
          <w:iCs/>
          <w:color w:val="0D0D0D"/>
          <w:sz w:val="24"/>
          <w:szCs w:val="24"/>
          <w:shd w:val="clear" w:color="auto" w:fill="FFFFFF"/>
        </w:rPr>
        <w:t>H</w:t>
      </w:r>
      <w:r w:rsidRPr="00212DDD">
        <w:rPr>
          <w:rStyle w:val="mrel"/>
          <w:rFonts w:ascii="Times New Roman" w:hAnsi="Times New Roman" w:cs="Times New Roman"/>
          <w:color w:val="0D0D0D"/>
          <w:sz w:val="24"/>
          <w:szCs w:val="24"/>
          <w:shd w:val="clear" w:color="auto" w:fill="FFFFFF"/>
        </w:rPr>
        <w:t>=</w:t>
      </w:r>
      <w:r w:rsidRPr="00212DDD">
        <w:rPr>
          <w:rStyle w:val="mopen"/>
          <w:rFonts w:ascii="Times New Roman" w:hAnsi="Times New Roman" w:cs="Times New Roman"/>
          <w:color w:val="0D0D0D"/>
          <w:sz w:val="24"/>
          <w:szCs w:val="24"/>
          <w:shd w:val="clear" w:color="auto" w:fill="FFFFFF"/>
        </w:rPr>
        <w:t>(</w:t>
      </w:r>
      <w:r w:rsidRPr="00212DDD">
        <w:rPr>
          <w:rStyle w:val="mord"/>
          <w:rFonts w:ascii="Times New Roman" w:hAnsi="Times New Roman" w:cs="Times New Roman"/>
          <w:i/>
          <w:iCs/>
          <w:color w:val="0D0D0D"/>
          <w:sz w:val="24"/>
          <w:szCs w:val="24"/>
          <w:shd w:val="clear" w:color="auto" w:fill="FFFFFF"/>
        </w:rPr>
        <w:t>β</w:t>
      </w:r>
      <w:r w:rsidRPr="00212DDD">
        <w:rPr>
          <w:rStyle w:val="mord"/>
          <w:rFonts w:ascii="Times New Roman" w:hAnsi="Times New Roman" w:cs="Times New Roman"/>
          <w:color w:val="0D0D0D"/>
          <w:sz w:val="24"/>
          <w:szCs w:val="24"/>
          <w:shd w:val="clear" w:color="auto" w:fill="FFFFFF"/>
        </w:rPr>
        <w:t>^</w:t>
      </w:r>
      <w:r w:rsidRPr="00212DDD">
        <w:rPr>
          <w:rStyle w:val="vlist-s"/>
          <w:rFonts w:ascii="Times New Roman" w:hAnsi="Times New Roman" w:cs="Times New Roman"/>
          <w:color w:val="0D0D0D"/>
          <w:sz w:val="24"/>
          <w:szCs w:val="24"/>
          <w:shd w:val="clear" w:color="auto" w:fill="FFFFFF"/>
        </w:rPr>
        <w:t>​</w:t>
      </w:r>
      <w:r w:rsidRPr="00212DDD">
        <w:rPr>
          <w:rStyle w:val="mord"/>
          <w:rFonts w:ascii="Times New Roman" w:hAnsi="Times New Roman" w:cs="Times New Roman"/>
          <w:i/>
          <w:iCs/>
          <w:color w:val="0D0D0D"/>
          <w:sz w:val="24"/>
          <w:szCs w:val="24"/>
          <w:shd w:val="clear" w:color="auto" w:fill="FFFFFF"/>
        </w:rPr>
        <w:t>RE</w:t>
      </w:r>
      <w:r w:rsidRPr="00212DDD">
        <w:rPr>
          <w:rStyle w:val="vlist-s"/>
          <w:rFonts w:ascii="Times New Roman" w:hAnsi="Times New Roman" w:cs="Times New Roman"/>
          <w:color w:val="0D0D0D"/>
          <w:sz w:val="24"/>
          <w:szCs w:val="24"/>
          <w:shd w:val="clear" w:color="auto" w:fill="FFFFFF"/>
        </w:rPr>
        <w:t>​</w:t>
      </w:r>
      <w:r w:rsidRPr="00212DDD">
        <w:rPr>
          <w:rStyle w:val="mbin"/>
          <w:rFonts w:ascii="Times New Roman" w:hAnsi="Times New Roman" w:cs="Times New Roman"/>
          <w:color w:val="0D0D0D"/>
          <w:sz w:val="24"/>
          <w:szCs w:val="24"/>
          <w:shd w:val="clear" w:color="auto" w:fill="FFFFFF"/>
        </w:rPr>
        <w:t>−</w:t>
      </w:r>
      <w:r w:rsidRPr="00212DDD">
        <w:rPr>
          <w:rStyle w:val="mord"/>
          <w:rFonts w:ascii="Times New Roman" w:hAnsi="Times New Roman" w:cs="Times New Roman"/>
          <w:i/>
          <w:iCs/>
          <w:color w:val="0D0D0D"/>
          <w:sz w:val="24"/>
          <w:szCs w:val="24"/>
          <w:shd w:val="clear" w:color="auto" w:fill="FFFFFF"/>
        </w:rPr>
        <w:t>β</w:t>
      </w:r>
      <w:r w:rsidRPr="00212DDD">
        <w:rPr>
          <w:rStyle w:val="mord"/>
          <w:rFonts w:ascii="Times New Roman" w:hAnsi="Times New Roman" w:cs="Times New Roman"/>
          <w:color w:val="0D0D0D"/>
          <w:sz w:val="24"/>
          <w:szCs w:val="24"/>
          <w:shd w:val="clear" w:color="auto" w:fill="FFFFFF"/>
        </w:rPr>
        <w:t>^</w:t>
      </w:r>
      <w:r w:rsidRPr="00212DDD">
        <w:rPr>
          <w:rStyle w:val="vlist-s"/>
          <w:rFonts w:ascii="Times New Roman" w:hAnsi="Times New Roman" w:cs="Times New Roman"/>
          <w:color w:val="0D0D0D"/>
          <w:sz w:val="24"/>
          <w:szCs w:val="24"/>
          <w:shd w:val="clear" w:color="auto" w:fill="FFFFFF"/>
        </w:rPr>
        <w:t>​</w:t>
      </w:r>
      <w:r w:rsidRPr="00212DDD">
        <w:rPr>
          <w:rStyle w:val="mord"/>
          <w:rFonts w:ascii="Times New Roman" w:hAnsi="Times New Roman" w:cs="Times New Roman"/>
          <w:i/>
          <w:iCs/>
          <w:color w:val="0D0D0D"/>
          <w:sz w:val="24"/>
          <w:szCs w:val="24"/>
          <w:shd w:val="clear" w:color="auto" w:fill="FFFFFF"/>
        </w:rPr>
        <w:t>FE</w:t>
      </w:r>
      <w:r w:rsidRPr="00212DDD">
        <w:rPr>
          <w:rStyle w:val="vlist-s"/>
          <w:rFonts w:ascii="Times New Roman" w:hAnsi="Times New Roman" w:cs="Times New Roman"/>
          <w:color w:val="0D0D0D"/>
          <w:sz w:val="24"/>
          <w:szCs w:val="24"/>
          <w:shd w:val="clear" w:color="auto" w:fill="FFFFFF"/>
        </w:rPr>
        <w:t>​</w:t>
      </w:r>
      <w:r w:rsidRPr="00212DDD">
        <w:rPr>
          <w:rStyle w:val="mclose"/>
          <w:rFonts w:ascii="Times New Roman" w:hAnsi="Times New Roman" w:cs="Times New Roman"/>
          <w:color w:val="0D0D0D"/>
          <w:sz w:val="24"/>
          <w:szCs w:val="24"/>
          <w:shd w:val="clear" w:color="auto" w:fill="FFFFFF"/>
        </w:rPr>
        <w:t>)</w:t>
      </w:r>
      <w:r w:rsidRPr="00212DDD">
        <w:rPr>
          <w:rStyle w:val="mord"/>
          <w:rFonts w:ascii="Times New Roman" w:hAnsi="Times New Roman" w:cs="Times New Roman"/>
          <w:color w:val="0D0D0D"/>
          <w:sz w:val="24"/>
          <w:szCs w:val="24"/>
          <w:shd w:val="clear" w:color="auto" w:fill="FFFFFF"/>
        </w:rPr>
        <w:t>′</w:t>
      </w:r>
      <w:r w:rsidRPr="00212DDD">
        <w:rPr>
          <w:rStyle w:val="mopen"/>
          <w:rFonts w:ascii="Times New Roman" w:hAnsi="Times New Roman" w:cs="Times New Roman"/>
          <w:color w:val="0D0D0D"/>
          <w:sz w:val="24"/>
          <w:szCs w:val="24"/>
          <w:shd w:val="clear" w:color="auto" w:fill="FFFFFF"/>
        </w:rPr>
        <w:t>[</w:t>
      </w:r>
      <w:proofErr w:type="spellStart"/>
      <w:r w:rsidRPr="00212DDD">
        <w:rPr>
          <w:rStyle w:val="mord"/>
          <w:rFonts w:ascii="Times New Roman" w:hAnsi="Times New Roman" w:cs="Times New Roman"/>
          <w:i/>
          <w:iCs/>
          <w:color w:val="0D0D0D"/>
          <w:sz w:val="24"/>
          <w:szCs w:val="24"/>
          <w:shd w:val="clear" w:color="auto" w:fill="FFFFFF"/>
        </w:rPr>
        <w:t>Var</w:t>
      </w:r>
      <w:proofErr w:type="spellEnd"/>
      <w:r w:rsidRPr="00212DDD">
        <w:rPr>
          <w:rStyle w:val="mopen"/>
          <w:rFonts w:ascii="Times New Roman" w:hAnsi="Times New Roman" w:cs="Times New Roman"/>
          <w:color w:val="0D0D0D"/>
          <w:sz w:val="24"/>
          <w:szCs w:val="24"/>
          <w:shd w:val="clear" w:color="auto" w:fill="FFFFFF"/>
        </w:rPr>
        <w:t>(</w:t>
      </w:r>
      <w:r w:rsidRPr="00212DDD">
        <w:rPr>
          <w:rStyle w:val="mord"/>
          <w:rFonts w:ascii="Times New Roman" w:hAnsi="Times New Roman" w:cs="Times New Roman"/>
          <w:i/>
          <w:iCs/>
          <w:color w:val="0D0D0D"/>
          <w:sz w:val="24"/>
          <w:szCs w:val="24"/>
          <w:shd w:val="clear" w:color="auto" w:fill="FFFFFF"/>
        </w:rPr>
        <w:t>β</w:t>
      </w:r>
      <w:r w:rsidRPr="00212DDD">
        <w:rPr>
          <w:rStyle w:val="mord"/>
          <w:rFonts w:ascii="Times New Roman" w:hAnsi="Times New Roman" w:cs="Times New Roman"/>
          <w:color w:val="0D0D0D"/>
          <w:sz w:val="24"/>
          <w:szCs w:val="24"/>
          <w:shd w:val="clear" w:color="auto" w:fill="FFFFFF"/>
        </w:rPr>
        <w:t>^</w:t>
      </w:r>
      <w:r w:rsidRPr="00212DDD">
        <w:rPr>
          <w:rStyle w:val="vlist-s"/>
          <w:rFonts w:ascii="Times New Roman" w:hAnsi="Times New Roman" w:cs="Times New Roman"/>
          <w:color w:val="0D0D0D"/>
          <w:sz w:val="24"/>
          <w:szCs w:val="24"/>
          <w:shd w:val="clear" w:color="auto" w:fill="FFFFFF"/>
        </w:rPr>
        <w:t>​</w:t>
      </w:r>
      <w:r w:rsidRPr="00212DDD">
        <w:rPr>
          <w:rStyle w:val="mord"/>
          <w:rFonts w:ascii="Times New Roman" w:hAnsi="Times New Roman" w:cs="Times New Roman"/>
          <w:i/>
          <w:iCs/>
          <w:color w:val="0D0D0D"/>
          <w:sz w:val="24"/>
          <w:szCs w:val="24"/>
          <w:shd w:val="clear" w:color="auto" w:fill="FFFFFF"/>
        </w:rPr>
        <w:t>RE</w:t>
      </w:r>
      <w:r w:rsidRPr="00212DDD">
        <w:rPr>
          <w:rStyle w:val="vlist-s"/>
          <w:rFonts w:ascii="Times New Roman" w:hAnsi="Times New Roman" w:cs="Times New Roman"/>
          <w:color w:val="0D0D0D"/>
          <w:sz w:val="24"/>
          <w:szCs w:val="24"/>
          <w:shd w:val="clear" w:color="auto" w:fill="FFFFFF"/>
        </w:rPr>
        <w:t>​</w:t>
      </w:r>
      <w:r w:rsidRPr="00212DDD">
        <w:rPr>
          <w:rStyle w:val="mclose"/>
          <w:rFonts w:ascii="Times New Roman" w:hAnsi="Times New Roman" w:cs="Times New Roman"/>
          <w:color w:val="0D0D0D"/>
          <w:sz w:val="24"/>
          <w:szCs w:val="24"/>
          <w:shd w:val="clear" w:color="auto" w:fill="FFFFFF"/>
        </w:rPr>
        <w:t>)</w:t>
      </w:r>
      <w:r w:rsidRPr="00212DDD">
        <w:rPr>
          <w:rStyle w:val="mbin"/>
          <w:rFonts w:ascii="Times New Roman" w:hAnsi="Times New Roman" w:cs="Times New Roman"/>
          <w:color w:val="0D0D0D"/>
          <w:sz w:val="24"/>
          <w:szCs w:val="24"/>
          <w:shd w:val="clear" w:color="auto" w:fill="FFFFFF"/>
        </w:rPr>
        <w:t>−</w:t>
      </w:r>
      <w:proofErr w:type="spellStart"/>
      <w:r w:rsidRPr="00212DDD">
        <w:rPr>
          <w:rStyle w:val="mord"/>
          <w:rFonts w:ascii="Times New Roman" w:hAnsi="Times New Roman" w:cs="Times New Roman"/>
          <w:i/>
          <w:iCs/>
          <w:color w:val="0D0D0D"/>
          <w:sz w:val="24"/>
          <w:szCs w:val="24"/>
          <w:shd w:val="clear" w:color="auto" w:fill="FFFFFF"/>
        </w:rPr>
        <w:t>Var</w:t>
      </w:r>
      <w:proofErr w:type="spellEnd"/>
      <w:r w:rsidRPr="00212DDD">
        <w:rPr>
          <w:rStyle w:val="mopen"/>
          <w:rFonts w:ascii="Times New Roman" w:hAnsi="Times New Roman" w:cs="Times New Roman"/>
          <w:color w:val="0D0D0D"/>
          <w:sz w:val="24"/>
          <w:szCs w:val="24"/>
          <w:shd w:val="clear" w:color="auto" w:fill="FFFFFF"/>
        </w:rPr>
        <w:t>(</w:t>
      </w:r>
      <w:r w:rsidRPr="00212DDD">
        <w:rPr>
          <w:rStyle w:val="mord"/>
          <w:rFonts w:ascii="Times New Roman" w:hAnsi="Times New Roman" w:cs="Times New Roman"/>
          <w:i/>
          <w:iCs/>
          <w:color w:val="0D0D0D"/>
          <w:sz w:val="24"/>
          <w:szCs w:val="24"/>
          <w:shd w:val="clear" w:color="auto" w:fill="FFFFFF"/>
        </w:rPr>
        <w:t>β</w:t>
      </w:r>
      <w:r w:rsidRPr="00212DDD">
        <w:rPr>
          <w:rStyle w:val="mord"/>
          <w:rFonts w:ascii="Times New Roman" w:hAnsi="Times New Roman" w:cs="Times New Roman"/>
          <w:color w:val="0D0D0D"/>
          <w:sz w:val="24"/>
          <w:szCs w:val="24"/>
          <w:shd w:val="clear" w:color="auto" w:fill="FFFFFF"/>
        </w:rPr>
        <w:t>^</w:t>
      </w:r>
      <w:r w:rsidRPr="00212DDD">
        <w:rPr>
          <w:rStyle w:val="vlist-s"/>
          <w:rFonts w:ascii="Times New Roman" w:hAnsi="Times New Roman" w:cs="Times New Roman"/>
          <w:color w:val="0D0D0D"/>
          <w:sz w:val="24"/>
          <w:szCs w:val="24"/>
          <w:shd w:val="clear" w:color="auto" w:fill="FFFFFF"/>
        </w:rPr>
        <w:t>​</w:t>
      </w:r>
      <w:r w:rsidRPr="00212DDD">
        <w:rPr>
          <w:rStyle w:val="mord"/>
          <w:rFonts w:ascii="Times New Roman" w:hAnsi="Times New Roman" w:cs="Times New Roman"/>
          <w:i/>
          <w:iCs/>
          <w:color w:val="0D0D0D"/>
          <w:sz w:val="24"/>
          <w:szCs w:val="24"/>
          <w:shd w:val="clear" w:color="auto" w:fill="FFFFFF"/>
        </w:rPr>
        <w:t>FE</w:t>
      </w:r>
      <w:r w:rsidRPr="00212DDD">
        <w:rPr>
          <w:rStyle w:val="vlist-s"/>
          <w:rFonts w:ascii="Times New Roman" w:hAnsi="Times New Roman" w:cs="Times New Roman"/>
          <w:color w:val="0D0D0D"/>
          <w:sz w:val="24"/>
          <w:szCs w:val="24"/>
          <w:shd w:val="clear" w:color="auto" w:fill="FFFFFF"/>
        </w:rPr>
        <w:t>​</w:t>
      </w:r>
      <w:r w:rsidRPr="00212DDD">
        <w:rPr>
          <w:rStyle w:val="mclose"/>
          <w:rFonts w:ascii="Times New Roman" w:hAnsi="Times New Roman" w:cs="Times New Roman"/>
          <w:color w:val="0D0D0D"/>
          <w:sz w:val="24"/>
          <w:szCs w:val="24"/>
          <w:shd w:val="clear" w:color="auto" w:fill="FFFFFF"/>
        </w:rPr>
        <w:t>)]</w:t>
      </w:r>
      <w:r w:rsidRPr="00212DDD">
        <w:rPr>
          <w:rStyle w:val="mord"/>
          <w:rFonts w:ascii="Times New Roman" w:hAnsi="Times New Roman" w:cs="Times New Roman"/>
          <w:color w:val="0D0D0D"/>
          <w:sz w:val="24"/>
          <w:szCs w:val="24"/>
          <w:shd w:val="clear" w:color="auto" w:fill="FFFFFF"/>
        </w:rPr>
        <w:t>−1</w:t>
      </w:r>
      <w:r w:rsidRPr="00212DDD">
        <w:rPr>
          <w:rStyle w:val="mopen"/>
          <w:rFonts w:ascii="Times New Roman" w:hAnsi="Times New Roman" w:cs="Times New Roman"/>
          <w:color w:val="0D0D0D"/>
          <w:sz w:val="24"/>
          <w:szCs w:val="24"/>
          <w:shd w:val="clear" w:color="auto" w:fill="FFFFFF"/>
        </w:rPr>
        <w:t>(</w:t>
      </w:r>
      <w:r w:rsidRPr="00212DDD">
        <w:rPr>
          <w:rStyle w:val="mord"/>
          <w:rFonts w:ascii="Times New Roman" w:hAnsi="Times New Roman" w:cs="Times New Roman"/>
          <w:i/>
          <w:iCs/>
          <w:color w:val="0D0D0D"/>
          <w:sz w:val="24"/>
          <w:szCs w:val="24"/>
          <w:shd w:val="clear" w:color="auto" w:fill="FFFFFF"/>
        </w:rPr>
        <w:t>β</w:t>
      </w:r>
      <w:r w:rsidRPr="00212DDD">
        <w:rPr>
          <w:rStyle w:val="mord"/>
          <w:rFonts w:ascii="Times New Roman" w:hAnsi="Times New Roman" w:cs="Times New Roman"/>
          <w:color w:val="0D0D0D"/>
          <w:sz w:val="24"/>
          <w:szCs w:val="24"/>
          <w:shd w:val="clear" w:color="auto" w:fill="FFFFFF"/>
        </w:rPr>
        <w:t>^</w:t>
      </w:r>
      <w:r w:rsidRPr="00212DDD">
        <w:rPr>
          <w:rStyle w:val="vlist-s"/>
          <w:rFonts w:ascii="Times New Roman" w:hAnsi="Times New Roman" w:cs="Times New Roman"/>
          <w:color w:val="0D0D0D"/>
          <w:sz w:val="24"/>
          <w:szCs w:val="24"/>
          <w:shd w:val="clear" w:color="auto" w:fill="FFFFFF"/>
        </w:rPr>
        <w:t>​</w:t>
      </w:r>
      <w:r w:rsidRPr="00212DDD">
        <w:rPr>
          <w:rStyle w:val="mord"/>
          <w:rFonts w:ascii="Times New Roman" w:hAnsi="Times New Roman" w:cs="Times New Roman"/>
          <w:i/>
          <w:iCs/>
          <w:color w:val="0D0D0D"/>
          <w:sz w:val="24"/>
          <w:szCs w:val="24"/>
          <w:shd w:val="clear" w:color="auto" w:fill="FFFFFF"/>
        </w:rPr>
        <w:t>RE</w:t>
      </w:r>
      <w:r w:rsidRPr="00212DDD">
        <w:rPr>
          <w:rStyle w:val="vlist-s"/>
          <w:rFonts w:ascii="Times New Roman" w:hAnsi="Times New Roman" w:cs="Times New Roman"/>
          <w:color w:val="0D0D0D"/>
          <w:sz w:val="24"/>
          <w:szCs w:val="24"/>
          <w:shd w:val="clear" w:color="auto" w:fill="FFFFFF"/>
        </w:rPr>
        <w:t>​</w:t>
      </w:r>
      <w:r w:rsidRPr="00212DDD">
        <w:rPr>
          <w:rStyle w:val="mbin"/>
          <w:rFonts w:ascii="Times New Roman" w:hAnsi="Times New Roman" w:cs="Times New Roman"/>
          <w:color w:val="0D0D0D"/>
          <w:sz w:val="24"/>
          <w:szCs w:val="24"/>
          <w:shd w:val="clear" w:color="auto" w:fill="FFFFFF"/>
        </w:rPr>
        <w:t>−</w:t>
      </w:r>
      <w:r w:rsidRPr="00212DDD">
        <w:rPr>
          <w:rStyle w:val="mord"/>
          <w:rFonts w:ascii="Times New Roman" w:hAnsi="Times New Roman" w:cs="Times New Roman"/>
          <w:i/>
          <w:iCs/>
          <w:color w:val="0D0D0D"/>
          <w:sz w:val="24"/>
          <w:szCs w:val="24"/>
          <w:shd w:val="clear" w:color="auto" w:fill="FFFFFF"/>
        </w:rPr>
        <w:t>β</w:t>
      </w:r>
      <w:r w:rsidRPr="00212DDD">
        <w:rPr>
          <w:rStyle w:val="mord"/>
          <w:rFonts w:ascii="Times New Roman" w:hAnsi="Times New Roman" w:cs="Times New Roman"/>
          <w:color w:val="0D0D0D"/>
          <w:sz w:val="24"/>
          <w:szCs w:val="24"/>
          <w:shd w:val="clear" w:color="auto" w:fill="FFFFFF"/>
        </w:rPr>
        <w:t>^</w:t>
      </w:r>
      <w:r w:rsidRPr="00212DDD">
        <w:rPr>
          <w:rStyle w:val="vlist-s"/>
          <w:rFonts w:ascii="Times New Roman" w:hAnsi="Times New Roman" w:cs="Times New Roman"/>
          <w:color w:val="0D0D0D"/>
          <w:sz w:val="24"/>
          <w:szCs w:val="24"/>
          <w:shd w:val="clear" w:color="auto" w:fill="FFFFFF"/>
        </w:rPr>
        <w:t>​</w:t>
      </w:r>
      <w:r w:rsidRPr="00212DDD">
        <w:rPr>
          <w:rStyle w:val="mord"/>
          <w:rFonts w:ascii="Times New Roman" w:hAnsi="Times New Roman" w:cs="Times New Roman"/>
          <w:i/>
          <w:iCs/>
          <w:color w:val="0D0D0D"/>
          <w:sz w:val="24"/>
          <w:szCs w:val="24"/>
          <w:shd w:val="clear" w:color="auto" w:fill="FFFFFF"/>
        </w:rPr>
        <w:t>FE</w:t>
      </w:r>
      <w:r w:rsidRPr="00212DDD">
        <w:rPr>
          <w:rStyle w:val="vlist-s"/>
          <w:rFonts w:ascii="Times New Roman" w:hAnsi="Times New Roman" w:cs="Times New Roman"/>
          <w:color w:val="0D0D0D"/>
          <w:sz w:val="24"/>
          <w:szCs w:val="24"/>
          <w:shd w:val="clear" w:color="auto" w:fill="FFFFFF"/>
        </w:rPr>
        <w:t>​</w:t>
      </w:r>
      <w:r w:rsidRPr="00212DDD">
        <w:rPr>
          <w:rStyle w:val="mclose"/>
          <w:rFonts w:ascii="Times New Roman" w:hAnsi="Times New Roman" w:cs="Times New Roman"/>
          <w:color w:val="0D0D0D"/>
          <w:sz w:val="24"/>
          <w:szCs w:val="24"/>
          <w:shd w:val="clear" w:color="auto" w:fill="FFFFFF"/>
        </w:rPr>
        <w:t>)</w:t>
      </w:r>
      <w:r w:rsidR="00745CE4" w:rsidRPr="00212DDD">
        <w:rPr>
          <w:rStyle w:val="mclose"/>
          <w:rFonts w:ascii="Times New Roman" w:hAnsi="Times New Roman" w:cs="Times New Roman"/>
          <w:color w:val="0D0D0D"/>
          <w:sz w:val="24"/>
          <w:szCs w:val="24"/>
          <w:shd w:val="clear" w:color="auto" w:fill="FFFFFF"/>
        </w:rPr>
        <w:t xml:space="preserve"> …(9</w:t>
      </w:r>
      <w:r w:rsidR="008E4E0A" w:rsidRPr="00212DDD">
        <w:rPr>
          <w:rStyle w:val="mclose"/>
          <w:rFonts w:ascii="Times New Roman" w:hAnsi="Times New Roman" w:cs="Times New Roman"/>
          <w:color w:val="0D0D0D"/>
          <w:sz w:val="24"/>
          <w:szCs w:val="24"/>
          <w:shd w:val="clear" w:color="auto" w:fill="FFFFFF"/>
        </w:rPr>
        <w:t>)</w:t>
      </w:r>
    </w:p>
    <w:p w14:paraId="57B8301B" w14:textId="77777777" w:rsidR="008F34E4" w:rsidRPr="00212DDD" w:rsidRDefault="008F34E4" w:rsidP="00212DDD">
      <w:pPr>
        <w:jc w:val="both"/>
        <w:rPr>
          <w:rStyle w:val="mclose"/>
          <w:rFonts w:ascii="Times New Roman" w:hAnsi="Times New Roman" w:cs="Times New Roman"/>
          <w:color w:val="0D0D0D"/>
          <w:sz w:val="24"/>
          <w:szCs w:val="24"/>
          <w:shd w:val="clear" w:color="auto" w:fill="FFFFFF"/>
        </w:rPr>
      </w:pPr>
    </w:p>
    <w:p w14:paraId="0AAF16EE" w14:textId="77777777" w:rsidR="008F34E4" w:rsidRPr="00212DDD" w:rsidRDefault="008F34E4" w:rsidP="00212DDD">
      <w:pPr>
        <w:jc w:val="both"/>
        <w:rPr>
          <w:rFonts w:ascii="Times New Roman" w:hAnsi="Times New Roman" w:cs="Times New Roman"/>
          <w:sz w:val="24"/>
          <w:szCs w:val="24"/>
        </w:rPr>
      </w:pPr>
      <w:r w:rsidRPr="00212DDD">
        <w:rPr>
          <w:rFonts w:ascii="Times New Roman" w:hAnsi="Times New Roman" w:cs="Times New Roman"/>
          <w:sz w:val="24"/>
          <w:szCs w:val="24"/>
        </w:rPr>
        <w:t>Where:</w:t>
      </w:r>
    </w:p>
    <w:p w14:paraId="7A0F61A1" w14:textId="694A4EFF" w:rsidR="008F34E4" w:rsidRPr="00212DDD" w:rsidRDefault="008F34E4" w:rsidP="00212DDD">
      <w:pPr>
        <w:jc w:val="both"/>
        <w:rPr>
          <w:rFonts w:ascii="Times New Roman" w:hAnsi="Times New Roman" w:cs="Times New Roman"/>
          <w:sz w:val="24"/>
          <w:szCs w:val="24"/>
        </w:rPr>
      </w:pPr>
      <w:proofErr w:type="gramStart"/>
      <w:r w:rsidRPr="00212DDD">
        <w:rPr>
          <w:rFonts w:ascii="Times New Roman" w:hAnsi="Times New Roman" w:cs="Times New Roman"/>
          <w:sz w:val="24"/>
          <w:szCs w:val="24"/>
        </w:rPr>
        <w:t>β</w:t>
      </w:r>
      <w:proofErr w:type="gramEnd"/>
      <w:r w:rsidRPr="00212DDD">
        <w:rPr>
          <w:rFonts w:ascii="Times New Roman" w:hAnsi="Times New Roman" w:cs="Times New Roman"/>
          <w:sz w:val="24"/>
          <w:szCs w:val="24"/>
        </w:rPr>
        <w:t>^​RE​ is the coefficient estimate from the random effects estimator.</w:t>
      </w:r>
    </w:p>
    <w:p w14:paraId="3B214E08" w14:textId="4994CDA0" w:rsidR="008F34E4" w:rsidRPr="00212DDD" w:rsidRDefault="008F34E4" w:rsidP="00212DDD">
      <w:pPr>
        <w:jc w:val="both"/>
        <w:rPr>
          <w:rFonts w:ascii="Times New Roman" w:hAnsi="Times New Roman" w:cs="Times New Roman"/>
          <w:sz w:val="24"/>
          <w:szCs w:val="24"/>
        </w:rPr>
      </w:pPr>
      <w:proofErr w:type="gramStart"/>
      <w:r w:rsidRPr="00212DDD">
        <w:rPr>
          <w:rFonts w:ascii="Times New Roman" w:hAnsi="Times New Roman" w:cs="Times New Roman"/>
          <w:sz w:val="24"/>
          <w:szCs w:val="24"/>
        </w:rPr>
        <w:t>β</w:t>
      </w:r>
      <w:proofErr w:type="gramEnd"/>
      <w:r w:rsidRPr="00212DDD">
        <w:rPr>
          <w:rFonts w:ascii="Times New Roman" w:hAnsi="Times New Roman" w:cs="Times New Roman"/>
          <w:sz w:val="24"/>
          <w:szCs w:val="24"/>
        </w:rPr>
        <w:t>^​FE​ is the coefficient estimate from the fixed effects estimator.</w:t>
      </w:r>
    </w:p>
    <w:p w14:paraId="07BB5C01" w14:textId="5EBB8EFB" w:rsidR="008F34E4" w:rsidRPr="00212DDD" w:rsidRDefault="008F34E4" w:rsidP="00212DDD">
      <w:pPr>
        <w:jc w:val="both"/>
        <w:rPr>
          <w:rFonts w:ascii="Times New Roman" w:hAnsi="Times New Roman" w:cs="Times New Roman"/>
          <w:sz w:val="24"/>
          <w:szCs w:val="24"/>
        </w:rPr>
      </w:pPr>
      <w:proofErr w:type="spellStart"/>
      <w:proofErr w:type="gramStart"/>
      <w:r w:rsidRPr="00212DDD">
        <w:rPr>
          <w:rFonts w:ascii="Times New Roman" w:hAnsi="Times New Roman" w:cs="Times New Roman"/>
          <w:sz w:val="24"/>
          <w:szCs w:val="24"/>
        </w:rPr>
        <w:t>Var</w:t>
      </w:r>
      <w:proofErr w:type="spellEnd"/>
      <w:r w:rsidRPr="00212DDD">
        <w:rPr>
          <w:rFonts w:ascii="Times New Roman" w:hAnsi="Times New Roman" w:cs="Times New Roman"/>
          <w:sz w:val="24"/>
          <w:szCs w:val="24"/>
        </w:rPr>
        <w:t>(</w:t>
      </w:r>
      <w:proofErr w:type="gramEnd"/>
      <w:r w:rsidRPr="00212DDD">
        <w:rPr>
          <w:rFonts w:ascii="Times New Roman" w:hAnsi="Times New Roman" w:cs="Times New Roman"/>
          <w:sz w:val="24"/>
          <w:szCs w:val="24"/>
        </w:rPr>
        <w:t>β^​RE​) is the covariance matrix of the coefficients estimated from the random effects estimator.</w:t>
      </w:r>
    </w:p>
    <w:p w14:paraId="39C556B3" w14:textId="2E1FA99C" w:rsidR="008F34E4" w:rsidRPr="00212DDD" w:rsidRDefault="008F34E4" w:rsidP="00212DDD">
      <w:pPr>
        <w:jc w:val="both"/>
        <w:rPr>
          <w:rFonts w:ascii="Times New Roman" w:hAnsi="Times New Roman" w:cs="Times New Roman"/>
          <w:sz w:val="24"/>
          <w:szCs w:val="24"/>
        </w:rPr>
      </w:pPr>
      <w:proofErr w:type="spellStart"/>
      <w:proofErr w:type="gramStart"/>
      <w:r w:rsidRPr="00212DDD">
        <w:rPr>
          <w:rFonts w:ascii="Times New Roman" w:hAnsi="Times New Roman" w:cs="Times New Roman"/>
          <w:sz w:val="24"/>
          <w:szCs w:val="24"/>
        </w:rPr>
        <w:t>Var</w:t>
      </w:r>
      <w:proofErr w:type="spellEnd"/>
      <w:r w:rsidRPr="00212DDD">
        <w:rPr>
          <w:rFonts w:ascii="Times New Roman" w:hAnsi="Times New Roman" w:cs="Times New Roman"/>
          <w:sz w:val="24"/>
          <w:szCs w:val="24"/>
        </w:rPr>
        <w:t>(</w:t>
      </w:r>
      <w:proofErr w:type="gramEnd"/>
      <w:r w:rsidRPr="00212DDD">
        <w:rPr>
          <w:rFonts w:ascii="Times New Roman" w:hAnsi="Times New Roman" w:cs="Times New Roman"/>
          <w:sz w:val="24"/>
          <w:szCs w:val="24"/>
        </w:rPr>
        <w:t>β^​FE​) is the covariance matrix of the coefficients estimated from the fixed effects estimator.</w:t>
      </w:r>
    </w:p>
    <w:p w14:paraId="501A63BC" w14:textId="77777777" w:rsidR="008F34E4" w:rsidRDefault="008F34E4" w:rsidP="00212DDD">
      <w:pPr>
        <w:jc w:val="both"/>
        <w:rPr>
          <w:rStyle w:val="mclose"/>
          <w:rFonts w:ascii="Times New Roman" w:hAnsi="Times New Roman" w:cs="Times New Roman"/>
          <w:color w:val="0D0D0D"/>
          <w:sz w:val="24"/>
          <w:szCs w:val="24"/>
          <w:shd w:val="clear" w:color="auto" w:fill="FFFFFF"/>
        </w:rPr>
      </w:pPr>
    </w:p>
    <w:p w14:paraId="7B31B97B" w14:textId="77777777" w:rsidR="00704656" w:rsidRDefault="00704656" w:rsidP="00212DDD">
      <w:pPr>
        <w:jc w:val="both"/>
        <w:rPr>
          <w:rStyle w:val="mclose"/>
          <w:rFonts w:ascii="Times New Roman" w:hAnsi="Times New Roman" w:cs="Times New Roman"/>
          <w:color w:val="0D0D0D"/>
          <w:sz w:val="24"/>
          <w:szCs w:val="24"/>
          <w:shd w:val="clear" w:color="auto" w:fill="FFFFFF"/>
        </w:rPr>
      </w:pPr>
    </w:p>
    <w:p w14:paraId="3DA59487" w14:textId="4525FCE6" w:rsidR="00704656" w:rsidRPr="00212DDD" w:rsidRDefault="00704656" w:rsidP="00212DDD">
      <w:pPr>
        <w:jc w:val="both"/>
        <w:rPr>
          <w:rStyle w:val="mclose"/>
          <w:rFonts w:ascii="Times New Roman" w:hAnsi="Times New Roman" w:cs="Times New Roman"/>
          <w:color w:val="0D0D0D"/>
          <w:sz w:val="24"/>
          <w:szCs w:val="24"/>
          <w:shd w:val="clear" w:color="auto" w:fill="FFFFFF"/>
        </w:rPr>
      </w:pPr>
      <w:r w:rsidRPr="00704656">
        <w:rPr>
          <w:rStyle w:val="mclose"/>
          <w:rFonts w:ascii="Times New Roman" w:hAnsi="Times New Roman" w:cs="Times New Roman"/>
          <w:color w:val="0D0D0D"/>
          <w:sz w:val="24"/>
          <w:szCs w:val="24"/>
          <w:shd w:val="clear" w:color="auto" w:fill="FFFFFF"/>
        </w:rPr>
        <w:t xml:space="preserve">The test statistic denoted by H adheres to a chi-squared distribution with degrees of freedom corresponding to the quantity of coefficients under estimation within the model. Should the null hypothesis positing the consistency of the random effects model be repudiated, it intimates that the fixed effects model better suits the dataset. The </w:t>
      </w:r>
      <w:proofErr w:type="spellStart"/>
      <w:r w:rsidRPr="00704656">
        <w:rPr>
          <w:rStyle w:val="mclose"/>
          <w:rFonts w:ascii="Times New Roman" w:hAnsi="Times New Roman" w:cs="Times New Roman"/>
          <w:color w:val="0D0D0D"/>
          <w:sz w:val="24"/>
          <w:szCs w:val="24"/>
          <w:shd w:val="clear" w:color="auto" w:fill="FFFFFF"/>
        </w:rPr>
        <w:t>Hausman</w:t>
      </w:r>
      <w:proofErr w:type="spellEnd"/>
      <w:r w:rsidRPr="00704656">
        <w:rPr>
          <w:rStyle w:val="mclose"/>
          <w:rFonts w:ascii="Times New Roman" w:hAnsi="Times New Roman" w:cs="Times New Roman"/>
          <w:color w:val="0D0D0D"/>
          <w:sz w:val="24"/>
          <w:szCs w:val="24"/>
          <w:shd w:val="clear" w:color="auto" w:fill="FFFFFF"/>
        </w:rPr>
        <w:t xml:space="preserve"> test aids scholars in adjudicating between employing random effects (RE) or fixed effects (FE) frameworks in panel data analysis contingent upon the assumption regarding the error structure and the existence of unobserved individual-specific effects.</w:t>
      </w:r>
    </w:p>
    <w:p w14:paraId="69DBE736" w14:textId="77777777" w:rsidR="008F34E4" w:rsidRPr="00212DDD" w:rsidRDefault="008F34E4" w:rsidP="00212DDD">
      <w:pPr>
        <w:pBdr>
          <w:bottom w:val="single" w:sz="6" w:space="1" w:color="auto"/>
        </w:pBdr>
        <w:spacing w:line="240" w:lineRule="auto"/>
        <w:jc w:val="both"/>
        <w:rPr>
          <w:rFonts w:ascii="Times New Roman" w:eastAsia="Times New Roman" w:hAnsi="Times New Roman" w:cs="Times New Roman"/>
          <w:vanish/>
          <w:sz w:val="24"/>
          <w:szCs w:val="24"/>
        </w:rPr>
      </w:pPr>
      <w:r w:rsidRPr="00212DDD">
        <w:rPr>
          <w:rFonts w:ascii="Times New Roman" w:eastAsia="Times New Roman" w:hAnsi="Times New Roman" w:cs="Times New Roman"/>
          <w:vanish/>
          <w:sz w:val="24"/>
          <w:szCs w:val="24"/>
        </w:rPr>
        <w:t>Top of Form</w:t>
      </w:r>
    </w:p>
    <w:p w14:paraId="22DEC855" w14:textId="77777777" w:rsidR="008F34E4" w:rsidRPr="00212DDD" w:rsidRDefault="008F34E4" w:rsidP="00212DDD">
      <w:pPr>
        <w:jc w:val="both"/>
        <w:rPr>
          <w:rFonts w:ascii="Times New Roman" w:hAnsi="Times New Roman" w:cs="Times New Roman"/>
          <w:sz w:val="24"/>
          <w:szCs w:val="24"/>
        </w:rPr>
      </w:pPr>
    </w:p>
    <w:p w14:paraId="00000069" w14:textId="05F5B863" w:rsidR="00BA7DAA" w:rsidRPr="00212DDD" w:rsidRDefault="00D04125" w:rsidP="00212DDD">
      <w:pPr>
        <w:jc w:val="both"/>
        <w:rPr>
          <w:rFonts w:ascii="Times New Roman" w:eastAsia="Roboto" w:hAnsi="Times New Roman" w:cs="Times New Roman"/>
          <w:b/>
          <w:color w:val="374151"/>
          <w:sz w:val="24"/>
          <w:szCs w:val="24"/>
        </w:rPr>
      </w:pPr>
      <w:r>
        <w:rPr>
          <w:rFonts w:ascii="Times New Roman" w:eastAsia="Roboto" w:hAnsi="Times New Roman" w:cs="Times New Roman"/>
          <w:b/>
          <w:color w:val="374151"/>
          <w:sz w:val="24"/>
          <w:szCs w:val="24"/>
        </w:rPr>
        <w:t xml:space="preserve">3.3 </w:t>
      </w:r>
      <w:r w:rsidR="00CD4C0A" w:rsidRPr="00212DDD">
        <w:rPr>
          <w:rFonts w:ascii="Times New Roman" w:eastAsia="Roboto" w:hAnsi="Times New Roman" w:cs="Times New Roman"/>
          <w:b/>
          <w:color w:val="374151"/>
          <w:sz w:val="24"/>
          <w:szCs w:val="24"/>
        </w:rPr>
        <w:t>Data sources, variable description and empirical results</w:t>
      </w:r>
    </w:p>
    <w:p w14:paraId="22C35DAF" w14:textId="77777777" w:rsidR="002D7A85" w:rsidRPr="00212DDD" w:rsidRDefault="002D7A85" w:rsidP="00212DDD">
      <w:pPr>
        <w:jc w:val="both"/>
        <w:rPr>
          <w:rFonts w:ascii="Times New Roman" w:eastAsia="Roboto" w:hAnsi="Times New Roman" w:cs="Times New Roman"/>
          <w:color w:val="374151"/>
          <w:sz w:val="24"/>
          <w:szCs w:val="24"/>
        </w:rPr>
      </w:pPr>
    </w:p>
    <w:p w14:paraId="3BEDD273" w14:textId="77777777" w:rsidR="002D7A85" w:rsidRPr="00D04125" w:rsidRDefault="002D7A85" w:rsidP="00D04125">
      <w:pPr>
        <w:jc w:val="both"/>
        <w:rPr>
          <w:rFonts w:ascii="Times New Roman" w:hAnsi="Times New Roman" w:cs="Times New Roman"/>
          <w:sz w:val="24"/>
          <w:szCs w:val="24"/>
        </w:rPr>
      </w:pPr>
      <w:r w:rsidRPr="00D04125">
        <w:rPr>
          <w:rFonts w:ascii="Times New Roman" w:hAnsi="Times New Roman" w:cs="Times New Roman"/>
          <w:sz w:val="24"/>
          <w:szCs w:val="24"/>
        </w:rPr>
        <w:t>The data utilized in this study were collected from various sources encompassing 51 African countries spanning the years 2000 to 2022. It is important to note that the panel constructed from these data is unbalanced, reflecting the diverse nature of the countries and the temporal scope of the study.</w:t>
      </w:r>
    </w:p>
    <w:p w14:paraId="2DAF5162" w14:textId="77777777" w:rsidR="002D7A85" w:rsidRPr="00D04125" w:rsidRDefault="002D7A85" w:rsidP="00D04125">
      <w:pPr>
        <w:jc w:val="both"/>
        <w:rPr>
          <w:rFonts w:ascii="Times New Roman" w:hAnsi="Times New Roman" w:cs="Times New Roman"/>
          <w:sz w:val="12"/>
          <w:szCs w:val="24"/>
        </w:rPr>
      </w:pPr>
    </w:p>
    <w:p w14:paraId="39D1DAA5" w14:textId="77777777" w:rsidR="002D7A85" w:rsidRPr="00D04125" w:rsidRDefault="002D7A85" w:rsidP="00D04125">
      <w:pPr>
        <w:jc w:val="both"/>
        <w:rPr>
          <w:rFonts w:ascii="Times New Roman" w:hAnsi="Times New Roman" w:cs="Times New Roman"/>
          <w:sz w:val="24"/>
          <w:szCs w:val="24"/>
        </w:rPr>
      </w:pPr>
      <w:r w:rsidRPr="00D04125">
        <w:rPr>
          <w:rFonts w:ascii="Times New Roman" w:hAnsi="Times New Roman" w:cs="Times New Roman"/>
          <w:sz w:val="24"/>
          <w:szCs w:val="24"/>
        </w:rPr>
        <w:t xml:space="preserve">The countries included in the dataset are as follows: Algeria, Angola, Benin, Botswana, Burkina Faso, Burundi, </w:t>
      </w:r>
      <w:proofErr w:type="spellStart"/>
      <w:r w:rsidRPr="00D04125">
        <w:rPr>
          <w:rFonts w:ascii="Times New Roman" w:hAnsi="Times New Roman" w:cs="Times New Roman"/>
          <w:sz w:val="24"/>
          <w:szCs w:val="24"/>
        </w:rPr>
        <w:t>Cabo</w:t>
      </w:r>
      <w:proofErr w:type="spellEnd"/>
      <w:r w:rsidRPr="00D04125">
        <w:rPr>
          <w:rFonts w:ascii="Times New Roman" w:hAnsi="Times New Roman" w:cs="Times New Roman"/>
          <w:sz w:val="24"/>
          <w:szCs w:val="24"/>
        </w:rPr>
        <w:t xml:space="preserve"> Verde, Cameroon, Central African Republic, Chad, Comoros, Congo (Democratic Republic), Congo (Republic), Cote d'Ivoire, Djibouti, Egypt (Arab Republic), </w:t>
      </w:r>
      <w:proofErr w:type="spellStart"/>
      <w:r w:rsidRPr="00D04125">
        <w:rPr>
          <w:rFonts w:ascii="Times New Roman" w:hAnsi="Times New Roman" w:cs="Times New Roman"/>
          <w:sz w:val="24"/>
          <w:szCs w:val="24"/>
        </w:rPr>
        <w:t>Eswatini</w:t>
      </w:r>
      <w:proofErr w:type="spellEnd"/>
      <w:r w:rsidRPr="00D04125">
        <w:rPr>
          <w:rFonts w:ascii="Times New Roman" w:hAnsi="Times New Roman" w:cs="Times New Roman"/>
          <w:sz w:val="24"/>
          <w:szCs w:val="24"/>
        </w:rPr>
        <w:t>, Ethiopia, Gabon, Gambia (The), Ghana, Guinea, Guinea-Bissau, Kenya, Liberia, Libya, Madagascar, Malawi, Mali, Mauritania, Mauritius, Morocco, Mozambique, Namibia, Niger, Nigeria, Rwanda, Sao Tome and Principe, Senegal, Seychelles, Sierra Leone, South Africa, South Sudan, Sudan, Tanzania, Togo, Tunisia, Uganda, Zambia, Zimbabwe, and Lesotho.</w:t>
      </w:r>
    </w:p>
    <w:p w14:paraId="42BDAEB4" w14:textId="77777777" w:rsidR="002D7A85" w:rsidRPr="00D04125" w:rsidRDefault="002D7A85" w:rsidP="00D04125">
      <w:pPr>
        <w:jc w:val="both"/>
        <w:rPr>
          <w:rFonts w:ascii="Times New Roman" w:hAnsi="Times New Roman" w:cs="Times New Roman"/>
          <w:sz w:val="14"/>
          <w:szCs w:val="24"/>
        </w:rPr>
      </w:pPr>
    </w:p>
    <w:p w14:paraId="0000006A" w14:textId="5D103073" w:rsidR="00BA7DAA" w:rsidRDefault="002D7A85" w:rsidP="00D04125">
      <w:pPr>
        <w:jc w:val="both"/>
        <w:rPr>
          <w:rFonts w:ascii="Times New Roman" w:hAnsi="Times New Roman" w:cs="Times New Roman"/>
          <w:sz w:val="24"/>
          <w:szCs w:val="24"/>
        </w:rPr>
      </w:pPr>
      <w:r w:rsidRPr="00D04125">
        <w:rPr>
          <w:rFonts w:ascii="Times New Roman" w:hAnsi="Times New Roman" w:cs="Times New Roman"/>
          <w:sz w:val="24"/>
          <w:szCs w:val="24"/>
        </w:rPr>
        <w:t xml:space="preserve">The variables examined in the </w:t>
      </w:r>
      <w:r w:rsidR="00EA7DFD" w:rsidRPr="00D04125">
        <w:rPr>
          <w:rFonts w:ascii="Times New Roman" w:hAnsi="Times New Roman" w:cs="Times New Roman"/>
          <w:sz w:val="24"/>
          <w:szCs w:val="24"/>
        </w:rPr>
        <w:t xml:space="preserve">study, the detailed description and the </w:t>
      </w:r>
      <w:r w:rsidR="00801C06" w:rsidRPr="00D04125">
        <w:rPr>
          <w:rFonts w:ascii="Times New Roman" w:hAnsi="Times New Roman" w:cs="Times New Roman"/>
          <w:sz w:val="24"/>
          <w:szCs w:val="24"/>
        </w:rPr>
        <w:t>sources are presented in Table 3</w:t>
      </w:r>
      <w:r w:rsidR="00EA7DFD" w:rsidRPr="00D04125">
        <w:rPr>
          <w:rFonts w:ascii="Times New Roman" w:hAnsi="Times New Roman" w:cs="Times New Roman"/>
          <w:sz w:val="24"/>
          <w:szCs w:val="24"/>
        </w:rPr>
        <w:t xml:space="preserve">.1. </w:t>
      </w:r>
      <w:r w:rsidRPr="00D04125">
        <w:rPr>
          <w:rFonts w:ascii="Times New Roman" w:hAnsi="Times New Roman" w:cs="Times New Roman"/>
          <w:sz w:val="24"/>
          <w:szCs w:val="24"/>
        </w:rPr>
        <w:t>The approach to data collection involves integrating secondary data from various reputable sources to ensure the comprehensiveness and reliability of the analysis.</w:t>
      </w:r>
    </w:p>
    <w:p w14:paraId="7BC10918" w14:textId="77777777" w:rsidR="00EE4FD5" w:rsidRDefault="00EE4FD5" w:rsidP="00D04125">
      <w:pPr>
        <w:jc w:val="both"/>
        <w:rPr>
          <w:rFonts w:ascii="Times New Roman" w:hAnsi="Times New Roman" w:cs="Times New Roman"/>
          <w:sz w:val="24"/>
          <w:szCs w:val="24"/>
        </w:rPr>
      </w:pPr>
    </w:p>
    <w:p w14:paraId="3786CD10" w14:textId="77777777" w:rsidR="00EE4FD5" w:rsidRDefault="00EE4FD5" w:rsidP="00D04125">
      <w:pPr>
        <w:jc w:val="both"/>
        <w:rPr>
          <w:rFonts w:ascii="Times New Roman" w:hAnsi="Times New Roman" w:cs="Times New Roman"/>
          <w:sz w:val="24"/>
          <w:szCs w:val="24"/>
        </w:rPr>
      </w:pPr>
    </w:p>
    <w:p w14:paraId="4975B581" w14:textId="77777777" w:rsidR="00EE4FD5" w:rsidRDefault="00EE4FD5" w:rsidP="00D04125">
      <w:pPr>
        <w:jc w:val="both"/>
        <w:rPr>
          <w:rFonts w:ascii="Times New Roman" w:hAnsi="Times New Roman" w:cs="Times New Roman"/>
          <w:sz w:val="24"/>
          <w:szCs w:val="24"/>
        </w:rPr>
      </w:pPr>
    </w:p>
    <w:p w14:paraId="43C0F5C6" w14:textId="77777777" w:rsidR="00EE4FD5" w:rsidRDefault="00EE4FD5" w:rsidP="00D04125">
      <w:pPr>
        <w:jc w:val="both"/>
        <w:rPr>
          <w:rFonts w:ascii="Times New Roman" w:hAnsi="Times New Roman" w:cs="Times New Roman"/>
          <w:sz w:val="24"/>
          <w:szCs w:val="24"/>
        </w:rPr>
      </w:pPr>
    </w:p>
    <w:p w14:paraId="5CA17396" w14:textId="77777777" w:rsidR="00EE4FD5" w:rsidRDefault="00EE4FD5" w:rsidP="00D04125">
      <w:pPr>
        <w:jc w:val="both"/>
        <w:rPr>
          <w:rFonts w:ascii="Times New Roman" w:hAnsi="Times New Roman" w:cs="Times New Roman"/>
          <w:sz w:val="24"/>
          <w:szCs w:val="24"/>
        </w:rPr>
      </w:pPr>
    </w:p>
    <w:p w14:paraId="38DC2659" w14:textId="77777777" w:rsidR="00EE4FD5" w:rsidRDefault="00EE4FD5" w:rsidP="00D04125">
      <w:pPr>
        <w:jc w:val="both"/>
        <w:rPr>
          <w:rFonts w:ascii="Times New Roman" w:hAnsi="Times New Roman" w:cs="Times New Roman"/>
          <w:sz w:val="24"/>
          <w:szCs w:val="24"/>
        </w:rPr>
      </w:pPr>
    </w:p>
    <w:p w14:paraId="20BFFF4F" w14:textId="77777777" w:rsidR="00704656" w:rsidRDefault="00704656" w:rsidP="00D04125">
      <w:pPr>
        <w:jc w:val="both"/>
        <w:rPr>
          <w:rFonts w:ascii="Times New Roman" w:hAnsi="Times New Roman" w:cs="Times New Roman"/>
          <w:sz w:val="24"/>
          <w:szCs w:val="24"/>
        </w:rPr>
      </w:pPr>
    </w:p>
    <w:p w14:paraId="00B243CF" w14:textId="77777777" w:rsidR="00704656" w:rsidRDefault="00704656" w:rsidP="00D04125">
      <w:pPr>
        <w:jc w:val="both"/>
        <w:rPr>
          <w:rFonts w:ascii="Times New Roman" w:hAnsi="Times New Roman" w:cs="Times New Roman"/>
          <w:sz w:val="24"/>
          <w:szCs w:val="24"/>
        </w:rPr>
      </w:pPr>
    </w:p>
    <w:p w14:paraId="76C24178" w14:textId="0C76D51B" w:rsidR="00EA7DFD" w:rsidRPr="00D04125" w:rsidRDefault="00801C06" w:rsidP="00D04125">
      <w:pPr>
        <w:jc w:val="both"/>
        <w:rPr>
          <w:rFonts w:ascii="Times New Roman" w:hAnsi="Times New Roman" w:cs="Times New Roman"/>
          <w:b/>
          <w:sz w:val="24"/>
          <w:szCs w:val="24"/>
        </w:rPr>
      </w:pPr>
      <w:r w:rsidRPr="00D04125">
        <w:rPr>
          <w:rFonts w:ascii="Times New Roman" w:hAnsi="Times New Roman" w:cs="Times New Roman"/>
          <w:b/>
          <w:sz w:val="24"/>
          <w:szCs w:val="24"/>
        </w:rPr>
        <w:t>Table 3</w:t>
      </w:r>
      <w:r w:rsidR="00EA7DFD" w:rsidRPr="00D04125">
        <w:rPr>
          <w:rFonts w:ascii="Times New Roman" w:hAnsi="Times New Roman" w:cs="Times New Roman"/>
          <w:b/>
          <w:sz w:val="24"/>
          <w:szCs w:val="24"/>
        </w:rPr>
        <w:t xml:space="preserve">.1: Description of the variables </w:t>
      </w:r>
    </w:p>
    <w:p w14:paraId="36119B65" w14:textId="77777777" w:rsidR="00EA7DFD" w:rsidRPr="00212DDD" w:rsidRDefault="00EA7DFD" w:rsidP="00212DDD">
      <w:pPr>
        <w:jc w:val="both"/>
        <w:rPr>
          <w:rFonts w:ascii="Times New Roman" w:eastAsia="Roboto" w:hAnsi="Times New Roman" w:cs="Times New Roman"/>
          <w:color w:val="374151"/>
          <w:sz w:val="24"/>
          <w:szCs w:val="24"/>
        </w:rPr>
      </w:pPr>
    </w:p>
    <w:tbl>
      <w:tblPr>
        <w:tblStyle w:val="TableGrid"/>
        <w:tblW w:w="919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0"/>
        <w:gridCol w:w="4109"/>
        <w:gridCol w:w="2276"/>
      </w:tblGrid>
      <w:tr w:rsidR="00EA7DFD" w:rsidRPr="00212DDD" w14:paraId="11C1BD6C" w14:textId="77777777" w:rsidTr="00D04125">
        <w:tc>
          <w:tcPr>
            <w:tcW w:w="0" w:type="auto"/>
            <w:tcBorders>
              <w:top w:val="single" w:sz="4" w:space="0" w:color="auto"/>
              <w:bottom w:val="single" w:sz="4" w:space="0" w:color="auto"/>
            </w:tcBorders>
            <w:hideMark/>
          </w:tcPr>
          <w:p w14:paraId="2DCF9D94" w14:textId="77777777" w:rsidR="00EA7DFD" w:rsidRPr="00212DDD" w:rsidRDefault="00EA7DFD" w:rsidP="00212DDD">
            <w:pPr>
              <w:jc w:val="both"/>
              <w:rPr>
                <w:rFonts w:ascii="Times New Roman" w:eastAsia="Times New Roman" w:hAnsi="Times New Roman" w:cs="Times New Roman"/>
                <w:b/>
                <w:bCs/>
                <w:color w:val="0D0D0D"/>
                <w:sz w:val="24"/>
                <w:szCs w:val="24"/>
              </w:rPr>
            </w:pPr>
            <w:r w:rsidRPr="00212DDD">
              <w:rPr>
                <w:rFonts w:ascii="Times New Roman" w:eastAsia="Times New Roman" w:hAnsi="Times New Roman" w:cs="Times New Roman"/>
                <w:b/>
                <w:bCs/>
                <w:color w:val="0D0D0D"/>
                <w:sz w:val="24"/>
                <w:szCs w:val="24"/>
              </w:rPr>
              <w:t>Variable</w:t>
            </w:r>
          </w:p>
        </w:tc>
        <w:tc>
          <w:tcPr>
            <w:tcW w:w="0" w:type="auto"/>
            <w:tcBorders>
              <w:top w:val="single" w:sz="4" w:space="0" w:color="auto"/>
              <w:bottom w:val="single" w:sz="4" w:space="0" w:color="auto"/>
            </w:tcBorders>
            <w:hideMark/>
          </w:tcPr>
          <w:p w14:paraId="10DD1375" w14:textId="77777777" w:rsidR="00EA7DFD" w:rsidRPr="00212DDD" w:rsidRDefault="00EA7DFD" w:rsidP="00212DDD">
            <w:pPr>
              <w:jc w:val="both"/>
              <w:rPr>
                <w:rFonts w:ascii="Times New Roman" w:eastAsia="Times New Roman" w:hAnsi="Times New Roman" w:cs="Times New Roman"/>
                <w:b/>
                <w:bCs/>
                <w:color w:val="0D0D0D"/>
                <w:sz w:val="24"/>
                <w:szCs w:val="24"/>
              </w:rPr>
            </w:pPr>
            <w:r w:rsidRPr="00212DDD">
              <w:rPr>
                <w:rFonts w:ascii="Times New Roman" w:eastAsia="Times New Roman" w:hAnsi="Times New Roman" w:cs="Times New Roman"/>
                <w:b/>
                <w:bCs/>
                <w:color w:val="0D0D0D"/>
                <w:sz w:val="24"/>
                <w:szCs w:val="24"/>
              </w:rPr>
              <w:t>Description</w:t>
            </w:r>
          </w:p>
        </w:tc>
        <w:tc>
          <w:tcPr>
            <w:tcW w:w="0" w:type="auto"/>
            <w:tcBorders>
              <w:top w:val="single" w:sz="4" w:space="0" w:color="auto"/>
              <w:bottom w:val="single" w:sz="4" w:space="0" w:color="auto"/>
            </w:tcBorders>
            <w:hideMark/>
          </w:tcPr>
          <w:p w14:paraId="0C401712" w14:textId="77777777" w:rsidR="00EA7DFD" w:rsidRPr="00212DDD" w:rsidRDefault="00EA7DFD" w:rsidP="00212DDD">
            <w:pPr>
              <w:jc w:val="both"/>
              <w:rPr>
                <w:rFonts w:ascii="Times New Roman" w:eastAsia="Times New Roman" w:hAnsi="Times New Roman" w:cs="Times New Roman"/>
                <w:b/>
                <w:bCs/>
                <w:color w:val="0D0D0D"/>
                <w:sz w:val="24"/>
                <w:szCs w:val="24"/>
              </w:rPr>
            </w:pPr>
            <w:r w:rsidRPr="00212DDD">
              <w:rPr>
                <w:rFonts w:ascii="Times New Roman" w:eastAsia="Times New Roman" w:hAnsi="Times New Roman" w:cs="Times New Roman"/>
                <w:b/>
                <w:bCs/>
                <w:color w:val="0D0D0D"/>
                <w:sz w:val="24"/>
                <w:szCs w:val="24"/>
              </w:rPr>
              <w:t>Source</w:t>
            </w:r>
          </w:p>
        </w:tc>
      </w:tr>
      <w:tr w:rsidR="00EA7DFD" w:rsidRPr="00212DDD" w14:paraId="58831D40" w14:textId="77777777" w:rsidTr="00D04125">
        <w:tc>
          <w:tcPr>
            <w:tcW w:w="0" w:type="auto"/>
            <w:tcBorders>
              <w:top w:val="single" w:sz="4" w:space="0" w:color="auto"/>
            </w:tcBorders>
            <w:hideMark/>
          </w:tcPr>
          <w:p w14:paraId="508C8E55" w14:textId="77777777" w:rsidR="00EA7DFD" w:rsidRPr="00212DDD" w:rsidRDefault="00EA7DFD" w:rsidP="00212DDD">
            <w:pPr>
              <w:jc w:val="both"/>
              <w:rPr>
                <w:rFonts w:ascii="Times New Roman" w:eastAsia="Times New Roman" w:hAnsi="Times New Roman" w:cs="Times New Roman"/>
                <w:color w:val="0D0D0D"/>
                <w:sz w:val="24"/>
                <w:szCs w:val="24"/>
              </w:rPr>
            </w:pPr>
            <w:r w:rsidRPr="00212DDD">
              <w:rPr>
                <w:rFonts w:ascii="Times New Roman" w:eastAsia="Times New Roman" w:hAnsi="Times New Roman" w:cs="Times New Roman"/>
                <w:color w:val="0D0D0D"/>
                <w:sz w:val="24"/>
                <w:szCs w:val="24"/>
              </w:rPr>
              <w:t>Food supply (kcal per capita per day)</w:t>
            </w:r>
          </w:p>
        </w:tc>
        <w:tc>
          <w:tcPr>
            <w:tcW w:w="0" w:type="auto"/>
            <w:tcBorders>
              <w:top w:val="single" w:sz="4" w:space="0" w:color="auto"/>
            </w:tcBorders>
            <w:hideMark/>
          </w:tcPr>
          <w:p w14:paraId="3B3D3243" w14:textId="77777777" w:rsidR="00EA7DFD" w:rsidRPr="00212DDD" w:rsidRDefault="00EA7DFD" w:rsidP="00212DDD">
            <w:pPr>
              <w:jc w:val="both"/>
              <w:rPr>
                <w:rFonts w:ascii="Times New Roman" w:eastAsia="Times New Roman" w:hAnsi="Times New Roman" w:cs="Times New Roman"/>
                <w:color w:val="0D0D0D"/>
                <w:sz w:val="24"/>
                <w:szCs w:val="24"/>
              </w:rPr>
            </w:pPr>
            <w:r w:rsidRPr="00212DDD">
              <w:rPr>
                <w:rFonts w:ascii="Times New Roman" w:eastAsia="Times New Roman" w:hAnsi="Times New Roman" w:cs="Times New Roman"/>
                <w:color w:val="0D0D0D"/>
                <w:sz w:val="24"/>
                <w:szCs w:val="24"/>
              </w:rPr>
              <w:t>The average number of kilocalories available per person per day for consumption in a country.</w:t>
            </w:r>
          </w:p>
        </w:tc>
        <w:tc>
          <w:tcPr>
            <w:tcW w:w="0" w:type="auto"/>
            <w:tcBorders>
              <w:top w:val="single" w:sz="4" w:space="0" w:color="auto"/>
            </w:tcBorders>
            <w:hideMark/>
          </w:tcPr>
          <w:p w14:paraId="35BE16F2" w14:textId="77777777" w:rsidR="00EA7DFD" w:rsidRPr="00212DDD" w:rsidRDefault="00EA7DFD" w:rsidP="00212DDD">
            <w:pPr>
              <w:jc w:val="both"/>
              <w:rPr>
                <w:rFonts w:ascii="Times New Roman" w:eastAsia="Times New Roman" w:hAnsi="Times New Roman" w:cs="Times New Roman"/>
                <w:color w:val="0D0D0D"/>
                <w:sz w:val="24"/>
                <w:szCs w:val="24"/>
              </w:rPr>
            </w:pPr>
            <w:r w:rsidRPr="00212DDD">
              <w:rPr>
                <w:rFonts w:ascii="Times New Roman" w:eastAsia="Times New Roman" w:hAnsi="Times New Roman" w:cs="Times New Roman"/>
                <w:color w:val="0D0D0D"/>
                <w:sz w:val="24"/>
                <w:szCs w:val="24"/>
              </w:rPr>
              <w:t>UN Food and Agriculture Organization (FAO)</w:t>
            </w:r>
          </w:p>
        </w:tc>
      </w:tr>
      <w:tr w:rsidR="00EA7DFD" w:rsidRPr="00212DDD" w14:paraId="18B971A6" w14:textId="77777777" w:rsidTr="00D04125">
        <w:tc>
          <w:tcPr>
            <w:tcW w:w="0" w:type="auto"/>
            <w:hideMark/>
          </w:tcPr>
          <w:p w14:paraId="39060A33" w14:textId="77777777" w:rsidR="00EA7DFD" w:rsidRPr="00212DDD" w:rsidRDefault="00EA7DFD" w:rsidP="00212DDD">
            <w:pPr>
              <w:jc w:val="both"/>
              <w:rPr>
                <w:rFonts w:ascii="Times New Roman" w:eastAsia="Times New Roman" w:hAnsi="Times New Roman" w:cs="Times New Roman"/>
                <w:color w:val="0D0D0D"/>
                <w:sz w:val="24"/>
                <w:szCs w:val="24"/>
              </w:rPr>
            </w:pPr>
            <w:r w:rsidRPr="00212DDD">
              <w:rPr>
                <w:rFonts w:ascii="Times New Roman" w:eastAsia="Times New Roman" w:hAnsi="Times New Roman" w:cs="Times New Roman"/>
                <w:color w:val="0D0D0D"/>
                <w:sz w:val="24"/>
                <w:szCs w:val="24"/>
              </w:rPr>
              <w:t>CPIA transparency, accountability, and corruption in the public sector rating</w:t>
            </w:r>
          </w:p>
        </w:tc>
        <w:tc>
          <w:tcPr>
            <w:tcW w:w="0" w:type="auto"/>
            <w:hideMark/>
          </w:tcPr>
          <w:p w14:paraId="37C21A39" w14:textId="77777777" w:rsidR="00EA7DFD" w:rsidRPr="00212DDD" w:rsidRDefault="00EA7DFD" w:rsidP="00212DDD">
            <w:pPr>
              <w:jc w:val="both"/>
              <w:rPr>
                <w:rFonts w:ascii="Times New Roman" w:eastAsia="Times New Roman" w:hAnsi="Times New Roman" w:cs="Times New Roman"/>
                <w:color w:val="0D0D0D"/>
                <w:sz w:val="24"/>
                <w:szCs w:val="24"/>
              </w:rPr>
            </w:pPr>
            <w:r w:rsidRPr="00212DDD">
              <w:rPr>
                <w:rFonts w:ascii="Times New Roman" w:eastAsia="Times New Roman" w:hAnsi="Times New Roman" w:cs="Times New Roman"/>
                <w:color w:val="0D0D0D"/>
                <w:sz w:val="24"/>
                <w:szCs w:val="24"/>
              </w:rPr>
              <w:t>A rating system ranging from 1 to 6 that measures the transparency, accountability, and corruption levels in the public sector.</w:t>
            </w:r>
          </w:p>
        </w:tc>
        <w:tc>
          <w:tcPr>
            <w:tcW w:w="0" w:type="auto"/>
            <w:hideMark/>
          </w:tcPr>
          <w:p w14:paraId="2C74D26D" w14:textId="77777777" w:rsidR="00EA7DFD" w:rsidRPr="00212DDD" w:rsidRDefault="00EA7DFD" w:rsidP="00212DDD">
            <w:pPr>
              <w:jc w:val="both"/>
              <w:rPr>
                <w:rFonts w:ascii="Times New Roman" w:eastAsia="Times New Roman" w:hAnsi="Times New Roman" w:cs="Times New Roman"/>
                <w:color w:val="0D0D0D"/>
                <w:sz w:val="24"/>
                <w:szCs w:val="24"/>
              </w:rPr>
            </w:pPr>
            <w:r w:rsidRPr="00212DDD">
              <w:rPr>
                <w:rFonts w:ascii="Times New Roman" w:eastAsia="Times New Roman" w:hAnsi="Times New Roman" w:cs="Times New Roman"/>
                <w:color w:val="0D0D0D"/>
                <w:sz w:val="24"/>
                <w:szCs w:val="24"/>
              </w:rPr>
              <w:t>World Development Indicators of The World Bank</w:t>
            </w:r>
          </w:p>
        </w:tc>
      </w:tr>
      <w:tr w:rsidR="00EA7DFD" w:rsidRPr="00212DDD" w14:paraId="244504C3" w14:textId="77777777" w:rsidTr="00D04125">
        <w:tc>
          <w:tcPr>
            <w:tcW w:w="0" w:type="auto"/>
            <w:hideMark/>
          </w:tcPr>
          <w:p w14:paraId="1D499CD0" w14:textId="77777777" w:rsidR="00EA7DFD" w:rsidRPr="00212DDD" w:rsidRDefault="00EA7DFD" w:rsidP="00212DDD">
            <w:pPr>
              <w:jc w:val="both"/>
              <w:rPr>
                <w:rFonts w:ascii="Times New Roman" w:eastAsia="Times New Roman" w:hAnsi="Times New Roman" w:cs="Times New Roman"/>
                <w:color w:val="0D0D0D"/>
                <w:sz w:val="24"/>
                <w:szCs w:val="24"/>
              </w:rPr>
            </w:pPr>
            <w:r w:rsidRPr="00212DDD">
              <w:rPr>
                <w:rFonts w:ascii="Times New Roman" w:eastAsia="Times New Roman" w:hAnsi="Times New Roman" w:cs="Times New Roman"/>
                <w:color w:val="0D0D0D"/>
                <w:sz w:val="24"/>
                <w:szCs w:val="24"/>
              </w:rPr>
              <w:t>Ease of doing business score</w:t>
            </w:r>
          </w:p>
        </w:tc>
        <w:tc>
          <w:tcPr>
            <w:tcW w:w="0" w:type="auto"/>
            <w:hideMark/>
          </w:tcPr>
          <w:p w14:paraId="2C11912F" w14:textId="77777777" w:rsidR="00EA7DFD" w:rsidRPr="00212DDD" w:rsidRDefault="00EA7DFD" w:rsidP="00212DDD">
            <w:pPr>
              <w:jc w:val="both"/>
              <w:rPr>
                <w:rFonts w:ascii="Times New Roman" w:eastAsia="Times New Roman" w:hAnsi="Times New Roman" w:cs="Times New Roman"/>
                <w:color w:val="0D0D0D"/>
                <w:sz w:val="24"/>
                <w:szCs w:val="24"/>
              </w:rPr>
            </w:pPr>
            <w:r w:rsidRPr="00212DDD">
              <w:rPr>
                <w:rFonts w:ascii="Times New Roman" w:eastAsia="Times New Roman" w:hAnsi="Times New Roman" w:cs="Times New Roman"/>
                <w:color w:val="0D0D0D"/>
                <w:sz w:val="24"/>
                <w:szCs w:val="24"/>
              </w:rPr>
              <w:t>A score ranging from 0 to 100 that evaluates the ease of doing business in a country, with higher scores indicating better performance.</w:t>
            </w:r>
          </w:p>
        </w:tc>
        <w:tc>
          <w:tcPr>
            <w:tcW w:w="0" w:type="auto"/>
            <w:hideMark/>
          </w:tcPr>
          <w:p w14:paraId="38FB85B3" w14:textId="77777777" w:rsidR="00EA7DFD" w:rsidRPr="00212DDD" w:rsidRDefault="00EA7DFD" w:rsidP="00212DDD">
            <w:pPr>
              <w:jc w:val="both"/>
              <w:rPr>
                <w:rFonts w:ascii="Times New Roman" w:eastAsia="Times New Roman" w:hAnsi="Times New Roman" w:cs="Times New Roman"/>
                <w:color w:val="0D0D0D"/>
                <w:sz w:val="24"/>
                <w:szCs w:val="24"/>
              </w:rPr>
            </w:pPr>
            <w:r w:rsidRPr="00212DDD">
              <w:rPr>
                <w:rFonts w:ascii="Times New Roman" w:eastAsia="Times New Roman" w:hAnsi="Times New Roman" w:cs="Times New Roman"/>
                <w:color w:val="0D0D0D"/>
                <w:sz w:val="24"/>
                <w:szCs w:val="24"/>
              </w:rPr>
              <w:t>World Development Indicators of The World Bank</w:t>
            </w:r>
          </w:p>
        </w:tc>
      </w:tr>
      <w:tr w:rsidR="00EA7DFD" w:rsidRPr="00212DDD" w14:paraId="5B5948E3" w14:textId="77777777" w:rsidTr="00D04125">
        <w:tc>
          <w:tcPr>
            <w:tcW w:w="0" w:type="auto"/>
            <w:hideMark/>
          </w:tcPr>
          <w:p w14:paraId="06D4736D" w14:textId="77777777" w:rsidR="00EA7DFD" w:rsidRPr="00212DDD" w:rsidRDefault="00EA7DFD" w:rsidP="00212DDD">
            <w:pPr>
              <w:jc w:val="both"/>
              <w:rPr>
                <w:rFonts w:ascii="Times New Roman" w:eastAsia="Times New Roman" w:hAnsi="Times New Roman" w:cs="Times New Roman"/>
                <w:color w:val="0D0D0D"/>
                <w:sz w:val="24"/>
                <w:szCs w:val="24"/>
              </w:rPr>
            </w:pPr>
            <w:r w:rsidRPr="00212DDD">
              <w:rPr>
                <w:rFonts w:ascii="Times New Roman" w:eastAsia="Times New Roman" w:hAnsi="Times New Roman" w:cs="Times New Roman"/>
                <w:color w:val="0D0D0D"/>
                <w:sz w:val="24"/>
                <w:szCs w:val="24"/>
              </w:rPr>
              <w:t>Foreign direct investment net inflows (% of GDP)</w:t>
            </w:r>
          </w:p>
        </w:tc>
        <w:tc>
          <w:tcPr>
            <w:tcW w:w="0" w:type="auto"/>
            <w:hideMark/>
          </w:tcPr>
          <w:p w14:paraId="1F5CD41F" w14:textId="77777777" w:rsidR="00EA7DFD" w:rsidRPr="00212DDD" w:rsidRDefault="00EA7DFD" w:rsidP="00212DDD">
            <w:pPr>
              <w:jc w:val="both"/>
              <w:rPr>
                <w:rFonts w:ascii="Times New Roman" w:eastAsia="Times New Roman" w:hAnsi="Times New Roman" w:cs="Times New Roman"/>
                <w:color w:val="0D0D0D"/>
                <w:sz w:val="24"/>
                <w:szCs w:val="24"/>
              </w:rPr>
            </w:pPr>
            <w:r w:rsidRPr="00212DDD">
              <w:rPr>
                <w:rFonts w:ascii="Times New Roman" w:eastAsia="Times New Roman" w:hAnsi="Times New Roman" w:cs="Times New Roman"/>
                <w:color w:val="0D0D0D"/>
                <w:sz w:val="24"/>
                <w:szCs w:val="24"/>
              </w:rPr>
              <w:t>The percentage of Gross Domestic Product (GDP) represented by the net inflow of foreign direct investment.</w:t>
            </w:r>
          </w:p>
        </w:tc>
        <w:tc>
          <w:tcPr>
            <w:tcW w:w="0" w:type="auto"/>
            <w:hideMark/>
          </w:tcPr>
          <w:p w14:paraId="47427397" w14:textId="77777777" w:rsidR="00EA7DFD" w:rsidRPr="00212DDD" w:rsidRDefault="00EA7DFD" w:rsidP="00212DDD">
            <w:pPr>
              <w:jc w:val="both"/>
              <w:rPr>
                <w:rFonts w:ascii="Times New Roman" w:eastAsia="Times New Roman" w:hAnsi="Times New Roman" w:cs="Times New Roman"/>
                <w:color w:val="0D0D0D"/>
                <w:sz w:val="24"/>
                <w:szCs w:val="24"/>
              </w:rPr>
            </w:pPr>
            <w:r w:rsidRPr="00212DDD">
              <w:rPr>
                <w:rFonts w:ascii="Times New Roman" w:eastAsia="Times New Roman" w:hAnsi="Times New Roman" w:cs="Times New Roman"/>
                <w:color w:val="0D0D0D"/>
                <w:sz w:val="24"/>
                <w:szCs w:val="24"/>
              </w:rPr>
              <w:t>World Development Indicators of The World Bank</w:t>
            </w:r>
          </w:p>
        </w:tc>
      </w:tr>
      <w:tr w:rsidR="00EA7DFD" w:rsidRPr="00212DDD" w14:paraId="59325271" w14:textId="77777777" w:rsidTr="00D04125">
        <w:tc>
          <w:tcPr>
            <w:tcW w:w="0" w:type="auto"/>
            <w:hideMark/>
          </w:tcPr>
          <w:p w14:paraId="0B4E0EED" w14:textId="77777777" w:rsidR="00EA7DFD" w:rsidRPr="00212DDD" w:rsidRDefault="00EA7DFD" w:rsidP="00212DDD">
            <w:pPr>
              <w:jc w:val="both"/>
              <w:rPr>
                <w:rFonts w:ascii="Times New Roman" w:eastAsia="Times New Roman" w:hAnsi="Times New Roman" w:cs="Times New Roman"/>
                <w:color w:val="0D0D0D"/>
                <w:sz w:val="24"/>
                <w:szCs w:val="24"/>
              </w:rPr>
            </w:pPr>
            <w:r w:rsidRPr="00212DDD">
              <w:rPr>
                <w:rFonts w:ascii="Times New Roman" w:eastAsia="Times New Roman" w:hAnsi="Times New Roman" w:cs="Times New Roman"/>
                <w:color w:val="0D0D0D"/>
                <w:sz w:val="24"/>
                <w:szCs w:val="24"/>
              </w:rPr>
              <w:t>Temperature change</w:t>
            </w:r>
          </w:p>
        </w:tc>
        <w:tc>
          <w:tcPr>
            <w:tcW w:w="0" w:type="auto"/>
            <w:hideMark/>
          </w:tcPr>
          <w:p w14:paraId="4C9F4123" w14:textId="4A505D86" w:rsidR="00EA7DFD" w:rsidRPr="00212DDD" w:rsidRDefault="00EA7DFD" w:rsidP="00212DDD">
            <w:pPr>
              <w:jc w:val="both"/>
              <w:rPr>
                <w:rFonts w:ascii="Times New Roman" w:eastAsia="Times New Roman" w:hAnsi="Times New Roman" w:cs="Times New Roman"/>
                <w:color w:val="0D0D0D"/>
                <w:sz w:val="24"/>
                <w:szCs w:val="24"/>
              </w:rPr>
            </w:pPr>
            <w:r w:rsidRPr="00212DDD">
              <w:rPr>
                <w:rFonts w:ascii="Times New Roman" w:eastAsia="Times New Roman" w:hAnsi="Times New Roman" w:cs="Times New Roman"/>
                <w:color w:val="0D0D0D"/>
                <w:sz w:val="24"/>
                <w:szCs w:val="24"/>
              </w:rPr>
              <w:t>The change in average temperature over a specified period, typic</w:t>
            </w:r>
            <w:r w:rsidR="00A42B43" w:rsidRPr="00212DDD">
              <w:rPr>
                <w:rFonts w:ascii="Times New Roman" w:eastAsia="Times New Roman" w:hAnsi="Times New Roman" w:cs="Times New Roman"/>
                <w:color w:val="0D0D0D"/>
                <w:sz w:val="24"/>
                <w:szCs w:val="24"/>
              </w:rPr>
              <w:t>ally measured in degrees Celsius</w:t>
            </w:r>
            <w:r w:rsidRPr="00212DDD">
              <w:rPr>
                <w:rFonts w:ascii="Times New Roman" w:eastAsia="Times New Roman" w:hAnsi="Times New Roman" w:cs="Times New Roman"/>
                <w:color w:val="0D0D0D"/>
                <w:sz w:val="24"/>
                <w:szCs w:val="24"/>
              </w:rPr>
              <w:t>.</w:t>
            </w:r>
          </w:p>
        </w:tc>
        <w:tc>
          <w:tcPr>
            <w:tcW w:w="0" w:type="auto"/>
            <w:hideMark/>
          </w:tcPr>
          <w:p w14:paraId="1492A78C" w14:textId="77777777" w:rsidR="00EA7DFD" w:rsidRPr="00212DDD" w:rsidRDefault="00EA7DFD" w:rsidP="00212DDD">
            <w:pPr>
              <w:jc w:val="both"/>
              <w:rPr>
                <w:rFonts w:ascii="Times New Roman" w:eastAsia="Times New Roman" w:hAnsi="Times New Roman" w:cs="Times New Roman"/>
                <w:color w:val="0D0D0D"/>
                <w:sz w:val="24"/>
                <w:szCs w:val="24"/>
              </w:rPr>
            </w:pPr>
            <w:r w:rsidRPr="00212DDD">
              <w:rPr>
                <w:rFonts w:ascii="Times New Roman" w:eastAsia="Times New Roman" w:hAnsi="Times New Roman" w:cs="Times New Roman"/>
                <w:color w:val="0D0D0D"/>
                <w:sz w:val="24"/>
                <w:szCs w:val="24"/>
              </w:rPr>
              <w:t>Climate Indicator of International Monetary Fund</w:t>
            </w:r>
          </w:p>
        </w:tc>
      </w:tr>
      <w:tr w:rsidR="00EA7DFD" w:rsidRPr="00212DDD" w14:paraId="385651D5" w14:textId="77777777" w:rsidTr="00D04125">
        <w:tc>
          <w:tcPr>
            <w:tcW w:w="0" w:type="auto"/>
            <w:hideMark/>
          </w:tcPr>
          <w:p w14:paraId="7A9195CF" w14:textId="77777777" w:rsidR="00EA7DFD" w:rsidRPr="00212DDD" w:rsidRDefault="00EA7DFD" w:rsidP="00212DDD">
            <w:pPr>
              <w:jc w:val="both"/>
              <w:rPr>
                <w:rFonts w:ascii="Times New Roman" w:eastAsia="Times New Roman" w:hAnsi="Times New Roman" w:cs="Times New Roman"/>
                <w:color w:val="0D0D0D"/>
                <w:sz w:val="24"/>
                <w:szCs w:val="24"/>
              </w:rPr>
            </w:pPr>
            <w:r w:rsidRPr="00212DDD">
              <w:rPr>
                <w:rFonts w:ascii="Times New Roman" w:eastAsia="Times New Roman" w:hAnsi="Times New Roman" w:cs="Times New Roman"/>
                <w:color w:val="0D0D0D"/>
                <w:sz w:val="24"/>
                <w:szCs w:val="24"/>
              </w:rPr>
              <w:t>Electoral Democracy</w:t>
            </w:r>
          </w:p>
        </w:tc>
        <w:tc>
          <w:tcPr>
            <w:tcW w:w="0" w:type="auto"/>
            <w:hideMark/>
          </w:tcPr>
          <w:p w14:paraId="3E2D2175" w14:textId="77777777" w:rsidR="00EA7DFD" w:rsidRPr="00212DDD" w:rsidRDefault="00EA7DFD" w:rsidP="00212DDD">
            <w:pPr>
              <w:jc w:val="both"/>
              <w:rPr>
                <w:rFonts w:ascii="Times New Roman" w:eastAsia="Times New Roman" w:hAnsi="Times New Roman" w:cs="Times New Roman"/>
                <w:color w:val="0D0D0D"/>
                <w:sz w:val="24"/>
                <w:szCs w:val="24"/>
              </w:rPr>
            </w:pPr>
            <w:r w:rsidRPr="00212DDD">
              <w:rPr>
                <w:rFonts w:ascii="Times New Roman" w:eastAsia="Times New Roman" w:hAnsi="Times New Roman" w:cs="Times New Roman"/>
                <w:color w:val="0D0D0D"/>
                <w:sz w:val="24"/>
                <w:szCs w:val="24"/>
              </w:rPr>
              <w:t>A measure of the level of democracy in a country, often based on factors such as free and fair elections, political participation, and civil liberties.</w:t>
            </w:r>
          </w:p>
        </w:tc>
        <w:tc>
          <w:tcPr>
            <w:tcW w:w="0" w:type="auto"/>
            <w:hideMark/>
          </w:tcPr>
          <w:p w14:paraId="646957B3" w14:textId="77777777" w:rsidR="00EA7DFD" w:rsidRPr="00212DDD" w:rsidRDefault="00EA7DFD" w:rsidP="00212DDD">
            <w:pPr>
              <w:jc w:val="both"/>
              <w:rPr>
                <w:rFonts w:ascii="Times New Roman" w:eastAsia="Times New Roman" w:hAnsi="Times New Roman" w:cs="Times New Roman"/>
                <w:color w:val="0D0D0D"/>
                <w:sz w:val="24"/>
                <w:szCs w:val="24"/>
              </w:rPr>
            </w:pPr>
            <w:r w:rsidRPr="00212DDD">
              <w:rPr>
                <w:rFonts w:ascii="Times New Roman" w:eastAsia="Times New Roman" w:hAnsi="Times New Roman" w:cs="Times New Roman"/>
                <w:color w:val="0D0D0D"/>
                <w:sz w:val="24"/>
                <w:szCs w:val="24"/>
              </w:rPr>
              <w:t>Varieties of Democracy</w:t>
            </w:r>
          </w:p>
        </w:tc>
      </w:tr>
      <w:tr w:rsidR="00EA7DFD" w:rsidRPr="00212DDD" w14:paraId="01FF3105" w14:textId="77777777" w:rsidTr="00D04125">
        <w:tc>
          <w:tcPr>
            <w:tcW w:w="0" w:type="auto"/>
            <w:hideMark/>
          </w:tcPr>
          <w:p w14:paraId="628E301E" w14:textId="77777777" w:rsidR="00EA7DFD" w:rsidRPr="00212DDD" w:rsidRDefault="00EA7DFD" w:rsidP="00212DDD">
            <w:pPr>
              <w:jc w:val="both"/>
              <w:rPr>
                <w:rFonts w:ascii="Times New Roman" w:eastAsia="Times New Roman" w:hAnsi="Times New Roman" w:cs="Times New Roman"/>
                <w:color w:val="0D0D0D"/>
                <w:sz w:val="24"/>
                <w:szCs w:val="24"/>
              </w:rPr>
            </w:pPr>
            <w:r w:rsidRPr="00212DDD">
              <w:rPr>
                <w:rFonts w:ascii="Times New Roman" w:eastAsia="Times New Roman" w:hAnsi="Times New Roman" w:cs="Times New Roman"/>
                <w:color w:val="0D0D0D"/>
                <w:sz w:val="24"/>
                <w:szCs w:val="24"/>
              </w:rPr>
              <w:t>Renewables - % electricity</w:t>
            </w:r>
          </w:p>
        </w:tc>
        <w:tc>
          <w:tcPr>
            <w:tcW w:w="0" w:type="auto"/>
            <w:hideMark/>
          </w:tcPr>
          <w:p w14:paraId="03D8E3A4" w14:textId="77777777" w:rsidR="00EA7DFD" w:rsidRPr="00212DDD" w:rsidRDefault="00EA7DFD" w:rsidP="00212DDD">
            <w:pPr>
              <w:jc w:val="both"/>
              <w:rPr>
                <w:rFonts w:ascii="Times New Roman" w:eastAsia="Times New Roman" w:hAnsi="Times New Roman" w:cs="Times New Roman"/>
                <w:color w:val="0D0D0D"/>
                <w:sz w:val="24"/>
                <w:szCs w:val="24"/>
              </w:rPr>
            </w:pPr>
            <w:r w:rsidRPr="00212DDD">
              <w:rPr>
                <w:rFonts w:ascii="Times New Roman" w:eastAsia="Times New Roman" w:hAnsi="Times New Roman" w:cs="Times New Roman"/>
                <w:color w:val="0D0D0D"/>
                <w:sz w:val="24"/>
                <w:szCs w:val="24"/>
              </w:rPr>
              <w:t>The percentage of electricity generated from renewable energy sources such as solar, wind, hydro, biomass, and geothermal.</w:t>
            </w:r>
          </w:p>
        </w:tc>
        <w:tc>
          <w:tcPr>
            <w:tcW w:w="0" w:type="auto"/>
            <w:hideMark/>
          </w:tcPr>
          <w:p w14:paraId="32A1BDE8" w14:textId="77777777" w:rsidR="00EA7DFD" w:rsidRPr="00212DDD" w:rsidRDefault="00EA7DFD" w:rsidP="00212DDD">
            <w:pPr>
              <w:jc w:val="both"/>
              <w:rPr>
                <w:rFonts w:ascii="Times New Roman" w:eastAsia="Times New Roman" w:hAnsi="Times New Roman" w:cs="Times New Roman"/>
                <w:color w:val="0D0D0D"/>
                <w:sz w:val="24"/>
                <w:szCs w:val="24"/>
              </w:rPr>
            </w:pPr>
            <w:r w:rsidRPr="00212DDD">
              <w:rPr>
                <w:rFonts w:ascii="Times New Roman" w:eastAsia="Times New Roman" w:hAnsi="Times New Roman" w:cs="Times New Roman"/>
                <w:color w:val="0D0D0D"/>
                <w:sz w:val="24"/>
                <w:szCs w:val="24"/>
              </w:rPr>
              <w:t>Energy Institute - Statistical Review of World Energy</w:t>
            </w:r>
          </w:p>
        </w:tc>
      </w:tr>
    </w:tbl>
    <w:p w14:paraId="5C834AEE" w14:textId="77777777" w:rsidR="00EA7DFD" w:rsidRPr="00212DDD" w:rsidRDefault="00EA7DFD" w:rsidP="00212DDD">
      <w:pPr>
        <w:jc w:val="both"/>
        <w:rPr>
          <w:rFonts w:ascii="Times New Roman" w:eastAsia="Roboto" w:hAnsi="Times New Roman" w:cs="Times New Roman"/>
          <w:color w:val="374151"/>
          <w:sz w:val="24"/>
          <w:szCs w:val="24"/>
        </w:rPr>
      </w:pPr>
    </w:p>
    <w:p w14:paraId="5ACB62C8" w14:textId="77777777" w:rsidR="00745CE4" w:rsidRPr="00212DDD" w:rsidRDefault="00745CE4" w:rsidP="00212DDD">
      <w:pPr>
        <w:jc w:val="both"/>
        <w:rPr>
          <w:rFonts w:ascii="Times New Roman" w:eastAsia="Roboto" w:hAnsi="Times New Roman" w:cs="Times New Roman"/>
          <w:color w:val="374151"/>
          <w:sz w:val="24"/>
          <w:szCs w:val="24"/>
        </w:rPr>
      </w:pPr>
    </w:p>
    <w:p w14:paraId="47998752" w14:textId="77777777" w:rsidR="00745CE4" w:rsidRPr="00212DDD" w:rsidRDefault="00745CE4" w:rsidP="00212DDD">
      <w:pPr>
        <w:jc w:val="both"/>
        <w:rPr>
          <w:rFonts w:ascii="Times New Roman" w:eastAsia="Roboto" w:hAnsi="Times New Roman" w:cs="Times New Roman"/>
          <w:color w:val="374151"/>
          <w:sz w:val="24"/>
          <w:szCs w:val="24"/>
        </w:rPr>
      </w:pPr>
    </w:p>
    <w:p w14:paraId="0000006D" w14:textId="03D8A3E5" w:rsidR="00BA7DAA" w:rsidRPr="00D04125" w:rsidRDefault="001D26FB" w:rsidP="00D04125">
      <w:pPr>
        <w:pStyle w:val="ListParagraph"/>
        <w:numPr>
          <w:ilvl w:val="0"/>
          <w:numId w:val="7"/>
        </w:numPr>
        <w:jc w:val="both"/>
        <w:rPr>
          <w:rFonts w:ascii="Times New Roman" w:hAnsi="Times New Roman" w:cs="Times New Roman"/>
          <w:b/>
          <w:sz w:val="24"/>
          <w:szCs w:val="24"/>
        </w:rPr>
      </w:pPr>
      <w:r w:rsidRPr="00D04125">
        <w:rPr>
          <w:rFonts w:ascii="Times New Roman" w:hAnsi="Times New Roman" w:cs="Times New Roman"/>
          <w:b/>
          <w:sz w:val="24"/>
          <w:szCs w:val="24"/>
        </w:rPr>
        <w:t>Analysis and discussion of results</w:t>
      </w:r>
    </w:p>
    <w:p w14:paraId="2C529E47" w14:textId="77777777" w:rsidR="00C962D6" w:rsidRPr="00212DDD" w:rsidRDefault="00C962D6" w:rsidP="00212DDD">
      <w:pPr>
        <w:jc w:val="both"/>
        <w:rPr>
          <w:rFonts w:ascii="Times New Roman" w:hAnsi="Times New Roman" w:cs="Times New Roman"/>
          <w:b/>
          <w:sz w:val="24"/>
          <w:szCs w:val="24"/>
        </w:rPr>
      </w:pPr>
    </w:p>
    <w:p w14:paraId="3D2D8377" w14:textId="77777777" w:rsidR="001D4ACF" w:rsidRPr="00212DDD" w:rsidRDefault="001D4ACF" w:rsidP="00212DDD">
      <w:pPr>
        <w:jc w:val="both"/>
        <w:rPr>
          <w:rFonts w:ascii="Times New Roman" w:hAnsi="Times New Roman" w:cs="Times New Roman"/>
          <w:sz w:val="24"/>
          <w:szCs w:val="24"/>
        </w:rPr>
      </w:pPr>
      <w:r w:rsidRPr="00212DDD">
        <w:rPr>
          <w:rFonts w:ascii="Times New Roman" w:hAnsi="Times New Roman" w:cs="Times New Roman"/>
          <w:sz w:val="24"/>
          <w:szCs w:val="24"/>
        </w:rPr>
        <w:t>This part presents a descriptive analysis of the variables utilized in the study, focusing on key statistics such as the minimum, average, maximum, standard deviations, and the number of observations for each variable. This analysis provides crucial insights into the dynamics of food security, renewable energy, democracy, governance, and related factors within the context of African nations.</w:t>
      </w:r>
    </w:p>
    <w:p w14:paraId="16193537" w14:textId="77777777" w:rsidR="001D4ACF" w:rsidRPr="00D04125" w:rsidRDefault="001D4ACF" w:rsidP="00212DDD">
      <w:pPr>
        <w:jc w:val="both"/>
        <w:rPr>
          <w:rFonts w:ascii="Times New Roman" w:hAnsi="Times New Roman" w:cs="Times New Roman"/>
          <w:b/>
          <w:sz w:val="8"/>
          <w:szCs w:val="24"/>
        </w:rPr>
      </w:pPr>
    </w:p>
    <w:p w14:paraId="601B2F4F" w14:textId="77777777" w:rsidR="001D4ACF" w:rsidRPr="00212DDD" w:rsidRDefault="001D4ACF" w:rsidP="00212DDD">
      <w:pPr>
        <w:jc w:val="both"/>
        <w:rPr>
          <w:rFonts w:ascii="Times New Roman" w:hAnsi="Times New Roman" w:cs="Times New Roman"/>
          <w:sz w:val="24"/>
          <w:szCs w:val="24"/>
        </w:rPr>
      </w:pPr>
      <w:r w:rsidRPr="00212DDD">
        <w:rPr>
          <w:rFonts w:ascii="Times New Roman" w:hAnsi="Times New Roman" w:cs="Times New Roman"/>
          <w:sz w:val="24"/>
          <w:szCs w:val="24"/>
        </w:rPr>
        <w:t>Table 4.1 offers a comprehensive overview of the descriptive statistics for the variables under examination, namely Food Supply (FSK), CPIA Transparency, Accountability, and Corruption Rating (CPIA), Electoral Democracy (DEM), Ease of Doing Business Score (EDB), Foreign Direct Investment (FDI), Renewables as Percentage of Electricity (REN), and Temperature Change (TMP).</w:t>
      </w:r>
    </w:p>
    <w:p w14:paraId="0DF2C99C" w14:textId="77777777" w:rsidR="001D4ACF" w:rsidRPr="00D04125" w:rsidRDefault="001D4ACF" w:rsidP="00212DDD">
      <w:pPr>
        <w:jc w:val="both"/>
        <w:rPr>
          <w:rFonts w:ascii="Times New Roman" w:hAnsi="Times New Roman" w:cs="Times New Roman"/>
          <w:sz w:val="10"/>
          <w:szCs w:val="24"/>
        </w:rPr>
      </w:pPr>
    </w:p>
    <w:p w14:paraId="362D2C55" w14:textId="77777777" w:rsidR="001D4ACF" w:rsidRPr="00212DDD" w:rsidRDefault="001D4ACF" w:rsidP="00212DDD">
      <w:pPr>
        <w:jc w:val="both"/>
        <w:rPr>
          <w:rFonts w:ascii="Times New Roman" w:hAnsi="Times New Roman" w:cs="Times New Roman"/>
          <w:sz w:val="24"/>
          <w:szCs w:val="24"/>
        </w:rPr>
      </w:pPr>
      <w:r w:rsidRPr="00212DDD">
        <w:rPr>
          <w:rFonts w:ascii="Times New Roman" w:hAnsi="Times New Roman" w:cs="Times New Roman"/>
          <w:sz w:val="24"/>
          <w:szCs w:val="24"/>
        </w:rPr>
        <w:t>Starting with Food Supply (FSK), the mean value stands at 2188.139 kcal per capita per day, with a median of 2348.788 kcal. The minimum recorded value is 0.000 kcal, indicating instances of severe food insecurity, while the maximum value reaches 3588.146 kcal. The standard deviation of 836.358 reflects notable variability in food supply across the observed African countries.</w:t>
      </w:r>
    </w:p>
    <w:p w14:paraId="7E0A775E" w14:textId="77777777" w:rsidR="001D4ACF" w:rsidRPr="00D04125" w:rsidRDefault="001D4ACF" w:rsidP="00212DDD">
      <w:pPr>
        <w:jc w:val="both"/>
        <w:rPr>
          <w:rFonts w:ascii="Times New Roman" w:hAnsi="Times New Roman" w:cs="Times New Roman"/>
          <w:sz w:val="10"/>
          <w:szCs w:val="24"/>
        </w:rPr>
      </w:pPr>
    </w:p>
    <w:p w14:paraId="72923DB7" w14:textId="77777777" w:rsidR="001D4ACF" w:rsidRPr="00212DDD" w:rsidRDefault="001D4ACF" w:rsidP="00212DDD">
      <w:pPr>
        <w:jc w:val="both"/>
        <w:rPr>
          <w:rFonts w:ascii="Times New Roman" w:hAnsi="Times New Roman" w:cs="Times New Roman"/>
          <w:sz w:val="24"/>
          <w:szCs w:val="24"/>
        </w:rPr>
      </w:pPr>
      <w:r w:rsidRPr="00212DDD">
        <w:rPr>
          <w:rFonts w:ascii="Times New Roman" w:hAnsi="Times New Roman" w:cs="Times New Roman"/>
          <w:sz w:val="24"/>
          <w:szCs w:val="24"/>
        </w:rPr>
        <w:t>In terms of CPIA, the mean score for transparency, accountability, and corruption in the public sector is 1.596, with a median of 2.000. The data indicates a wide range of scores, from a minimum of 0.000 to a maximum of 4.500, with a standard deviation of 1.440.</w:t>
      </w:r>
    </w:p>
    <w:p w14:paraId="79BD1E75" w14:textId="4E084C46" w:rsidR="001D4ACF" w:rsidRPr="00212DDD" w:rsidRDefault="001D4ACF" w:rsidP="00212DDD">
      <w:pPr>
        <w:jc w:val="both"/>
        <w:rPr>
          <w:rFonts w:ascii="Times New Roman" w:hAnsi="Times New Roman" w:cs="Times New Roman"/>
          <w:sz w:val="24"/>
          <w:szCs w:val="24"/>
        </w:rPr>
      </w:pPr>
      <w:r w:rsidRPr="00212DDD">
        <w:rPr>
          <w:rFonts w:ascii="Times New Roman" w:hAnsi="Times New Roman" w:cs="Times New Roman"/>
          <w:sz w:val="24"/>
          <w:szCs w:val="24"/>
        </w:rPr>
        <w:t xml:space="preserve"> Electoral Democracy (DEM) showcases a mean value of 0.423, indicating the extent of democratic governance across the region. The data ranges from a minimum score of 0.072 to a maximum of 0.806, with a standard deviation of 0.187. The Ease of Doing Business Score (EDB) demonstrates considerable variability, with a mean of 10.818 and a standard deviation of 21.446. The range spans from 0.000 to 81.468, reflecting diverse business environments across African countries.</w:t>
      </w:r>
    </w:p>
    <w:p w14:paraId="6746754C" w14:textId="77777777" w:rsidR="001D4ACF" w:rsidRPr="00C44FDF" w:rsidRDefault="001D4ACF" w:rsidP="00212DDD">
      <w:pPr>
        <w:jc w:val="both"/>
        <w:rPr>
          <w:rFonts w:ascii="Times New Roman" w:hAnsi="Times New Roman" w:cs="Times New Roman"/>
          <w:sz w:val="14"/>
          <w:szCs w:val="24"/>
        </w:rPr>
      </w:pPr>
    </w:p>
    <w:p w14:paraId="2CBBC8DF" w14:textId="3C8A2737" w:rsidR="001D4ACF" w:rsidRDefault="001D4ACF" w:rsidP="00212DDD">
      <w:pPr>
        <w:jc w:val="both"/>
        <w:rPr>
          <w:rFonts w:ascii="Times New Roman" w:hAnsi="Times New Roman" w:cs="Times New Roman"/>
          <w:sz w:val="24"/>
          <w:szCs w:val="24"/>
        </w:rPr>
      </w:pPr>
      <w:r w:rsidRPr="00212DDD">
        <w:rPr>
          <w:rFonts w:ascii="Times New Roman" w:hAnsi="Times New Roman" w:cs="Times New Roman"/>
          <w:sz w:val="24"/>
          <w:szCs w:val="24"/>
        </w:rPr>
        <w:t xml:space="preserve">Foreign Direct Investment (FDI) exhibits a mean percentage of 4.432 of GDP, with considerable fluctuation as depicted by a standard deviation of 8.712. The data range extends from -17.292% to 103.337% of GDP, indicating substantial variations in FDI inflows among the observed nations. Renewables as Percentage of Electricity </w:t>
      </w:r>
      <w:r w:rsidR="00C44FDF">
        <w:rPr>
          <w:rFonts w:ascii="Times New Roman" w:hAnsi="Times New Roman" w:cs="Times New Roman"/>
          <w:sz w:val="24"/>
          <w:szCs w:val="24"/>
        </w:rPr>
        <w:t xml:space="preserve">generated </w:t>
      </w:r>
      <w:r w:rsidRPr="00212DDD">
        <w:rPr>
          <w:rFonts w:ascii="Times New Roman" w:hAnsi="Times New Roman" w:cs="Times New Roman"/>
          <w:sz w:val="24"/>
          <w:szCs w:val="24"/>
        </w:rPr>
        <w:t>reveals a mean value of 40.195%, suggesting the level of renewable energy integration in the electricity sector. The data ranges from 0.000% to 100.000%, with a standard deviation of 37.907, highlighting the diversity in renewable energy adoption.</w:t>
      </w:r>
    </w:p>
    <w:p w14:paraId="1B0F3782" w14:textId="77777777" w:rsidR="00C44FDF" w:rsidRPr="00C44FDF" w:rsidRDefault="00C44FDF" w:rsidP="00212DDD">
      <w:pPr>
        <w:jc w:val="both"/>
        <w:rPr>
          <w:rFonts w:ascii="Times New Roman" w:hAnsi="Times New Roman" w:cs="Times New Roman"/>
          <w:sz w:val="14"/>
          <w:szCs w:val="24"/>
        </w:rPr>
      </w:pPr>
    </w:p>
    <w:p w14:paraId="50AE1594" w14:textId="77777777" w:rsidR="001D4ACF" w:rsidRPr="00212DDD" w:rsidRDefault="001D4ACF" w:rsidP="00212DDD">
      <w:pPr>
        <w:jc w:val="both"/>
        <w:rPr>
          <w:rFonts w:ascii="Times New Roman" w:hAnsi="Times New Roman" w:cs="Times New Roman"/>
          <w:sz w:val="24"/>
          <w:szCs w:val="24"/>
        </w:rPr>
      </w:pPr>
      <w:r w:rsidRPr="00212DDD">
        <w:rPr>
          <w:rFonts w:ascii="Times New Roman" w:hAnsi="Times New Roman" w:cs="Times New Roman"/>
          <w:sz w:val="24"/>
          <w:szCs w:val="24"/>
        </w:rPr>
        <w:t>Temperature Change (TMP) displays a mean change of 1.441 degrees, with a wide-ranging standard deviation of 3.636. The observed temperature changes vary from -1.305 to 27.370 degrees, underscoring the diverse climatic conditions experienced across African countries.</w:t>
      </w:r>
    </w:p>
    <w:p w14:paraId="417EA250" w14:textId="77777777" w:rsidR="001D4ACF" w:rsidRPr="00212DDD" w:rsidRDefault="001D4ACF" w:rsidP="00212DDD">
      <w:pPr>
        <w:jc w:val="both"/>
        <w:rPr>
          <w:rFonts w:ascii="Times New Roman" w:hAnsi="Times New Roman" w:cs="Times New Roman"/>
          <w:sz w:val="24"/>
          <w:szCs w:val="24"/>
        </w:rPr>
      </w:pPr>
    </w:p>
    <w:p w14:paraId="32259ED8" w14:textId="77777777" w:rsidR="001D4ACF" w:rsidRPr="00212DDD" w:rsidRDefault="001D4ACF" w:rsidP="00212DDD">
      <w:pPr>
        <w:jc w:val="both"/>
        <w:rPr>
          <w:rFonts w:ascii="Times New Roman" w:hAnsi="Times New Roman" w:cs="Times New Roman"/>
          <w:sz w:val="24"/>
          <w:szCs w:val="24"/>
        </w:rPr>
      </w:pPr>
      <w:r w:rsidRPr="00212DDD">
        <w:rPr>
          <w:rFonts w:ascii="Times New Roman" w:hAnsi="Times New Roman" w:cs="Times New Roman"/>
          <w:sz w:val="24"/>
          <w:szCs w:val="24"/>
        </w:rPr>
        <w:t xml:space="preserve">The </w:t>
      </w:r>
      <w:proofErr w:type="spellStart"/>
      <w:r w:rsidRPr="00212DDD">
        <w:rPr>
          <w:rFonts w:ascii="Times New Roman" w:hAnsi="Times New Roman" w:cs="Times New Roman"/>
          <w:sz w:val="24"/>
          <w:szCs w:val="24"/>
        </w:rPr>
        <w:t>skewness</w:t>
      </w:r>
      <w:proofErr w:type="spellEnd"/>
      <w:r w:rsidRPr="00212DDD">
        <w:rPr>
          <w:rFonts w:ascii="Times New Roman" w:hAnsi="Times New Roman" w:cs="Times New Roman"/>
          <w:sz w:val="24"/>
          <w:szCs w:val="24"/>
        </w:rPr>
        <w:t xml:space="preserve"> and kurtosis values provide insights into the distributional characteristics of the variables. </w:t>
      </w:r>
      <w:proofErr w:type="spellStart"/>
      <w:r w:rsidRPr="00212DDD">
        <w:rPr>
          <w:rFonts w:ascii="Times New Roman" w:hAnsi="Times New Roman" w:cs="Times New Roman"/>
          <w:sz w:val="24"/>
          <w:szCs w:val="24"/>
        </w:rPr>
        <w:t>Skewness</w:t>
      </w:r>
      <w:proofErr w:type="spellEnd"/>
      <w:r w:rsidRPr="00212DDD">
        <w:rPr>
          <w:rFonts w:ascii="Times New Roman" w:hAnsi="Times New Roman" w:cs="Times New Roman"/>
          <w:sz w:val="24"/>
          <w:szCs w:val="24"/>
        </w:rPr>
        <w:t xml:space="preserve"> and kurtosis values that deviate significantly from zero indicate non-normality in the distribution of data, warranting careful consideration in statistical analyses.</w:t>
      </w:r>
    </w:p>
    <w:p w14:paraId="38164D99" w14:textId="77777777" w:rsidR="001D4ACF" w:rsidRPr="00212DDD" w:rsidRDefault="001D4ACF" w:rsidP="00212DDD">
      <w:pPr>
        <w:jc w:val="both"/>
        <w:rPr>
          <w:rFonts w:ascii="Times New Roman" w:hAnsi="Times New Roman" w:cs="Times New Roman"/>
          <w:sz w:val="24"/>
          <w:szCs w:val="24"/>
        </w:rPr>
      </w:pPr>
      <w:r w:rsidRPr="00212DDD">
        <w:rPr>
          <w:rFonts w:ascii="Times New Roman" w:hAnsi="Times New Roman" w:cs="Times New Roman"/>
          <w:sz w:val="24"/>
          <w:szCs w:val="24"/>
        </w:rPr>
        <w:t xml:space="preserve">Furthermore, the </w:t>
      </w:r>
      <w:proofErr w:type="spellStart"/>
      <w:r w:rsidRPr="00212DDD">
        <w:rPr>
          <w:rFonts w:ascii="Times New Roman" w:hAnsi="Times New Roman" w:cs="Times New Roman"/>
          <w:sz w:val="24"/>
          <w:szCs w:val="24"/>
        </w:rPr>
        <w:t>Jarque-Bera</w:t>
      </w:r>
      <w:proofErr w:type="spellEnd"/>
      <w:r w:rsidRPr="00212DDD">
        <w:rPr>
          <w:rFonts w:ascii="Times New Roman" w:hAnsi="Times New Roman" w:cs="Times New Roman"/>
          <w:sz w:val="24"/>
          <w:szCs w:val="24"/>
        </w:rPr>
        <w:t xml:space="preserve"> test assesses the normality of the data distribution. The probability values associated with each variable indicate that the null hypothesis of normality is rejected at a statistically significant level, suggesting non-normal distribution patterns.</w:t>
      </w:r>
    </w:p>
    <w:p w14:paraId="4AABA73F" w14:textId="77777777" w:rsidR="001D4ACF" w:rsidRPr="00212DDD" w:rsidRDefault="001D4ACF" w:rsidP="00212DDD">
      <w:pPr>
        <w:jc w:val="both"/>
        <w:rPr>
          <w:rFonts w:ascii="Times New Roman" w:hAnsi="Times New Roman" w:cs="Times New Roman"/>
          <w:sz w:val="24"/>
          <w:szCs w:val="24"/>
        </w:rPr>
      </w:pPr>
    </w:p>
    <w:p w14:paraId="073FEB4C" w14:textId="77777777" w:rsidR="00801C06" w:rsidRPr="00212DDD" w:rsidRDefault="00801C06" w:rsidP="00212DDD">
      <w:pPr>
        <w:jc w:val="both"/>
        <w:rPr>
          <w:rFonts w:ascii="Times New Roman" w:hAnsi="Times New Roman" w:cs="Times New Roman"/>
          <w:b/>
          <w:sz w:val="24"/>
          <w:szCs w:val="24"/>
        </w:rPr>
      </w:pPr>
    </w:p>
    <w:p w14:paraId="40C8BDFB" w14:textId="0D2FA37F" w:rsidR="00801C06" w:rsidRPr="00D04125" w:rsidRDefault="00801C06" w:rsidP="00212DDD">
      <w:pPr>
        <w:autoSpaceDE w:val="0"/>
        <w:autoSpaceDN w:val="0"/>
        <w:adjustRightInd w:val="0"/>
        <w:spacing w:line="240" w:lineRule="auto"/>
        <w:jc w:val="both"/>
        <w:rPr>
          <w:rFonts w:ascii="Times New Roman" w:hAnsi="Times New Roman" w:cs="Times New Roman"/>
          <w:b/>
          <w:sz w:val="24"/>
          <w:szCs w:val="24"/>
        </w:rPr>
      </w:pPr>
      <w:r w:rsidRPr="00D04125">
        <w:rPr>
          <w:rFonts w:ascii="Times New Roman" w:hAnsi="Times New Roman" w:cs="Times New Roman"/>
          <w:b/>
          <w:sz w:val="24"/>
          <w:szCs w:val="24"/>
        </w:rPr>
        <w:t>Table 4.1: Descriptive statistics</w:t>
      </w:r>
    </w:p>
    <w:p w14:paraId="4C33A49D" w14:textId="77777777" w:rsidR="00801C06" w:rsidRPr="00212DDD" w:rsidRDefault="00801C06" w:rsidP="00212DDD">
      <w:pPr>
        <w:autoSpaceDE w:val="0"/>
        <w:autoSpaceDN w:val="0"/>
        <w:adjustRightInd w:val="0"/>
        <w:spacing w:line="240" w:lineRule="auto"/>
        <w:jc w:val="both"/>
        <w:rPr>
          <w:rFonts w:ascii="Times New Roman" w:hAnsi="Times New Roman" w:cs="Times New Roman"/>
          <w:sz w:val="24"/>
          <w:szCs w:val="24"/>
        </w:rPr>
      </w:pPr>
    </w:p>
    <w:tbl>
      <w:tblPr>
        <w:tblW w:w="9060" w:type="dxa"/>
        <w:tblInd w:w="30"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1266"/>
        <w:gridCol w:w="1114"/>
        <w:gridCol w:w="1113"/>
        <w:gridCol w:w="1114"/>
        <w:gridCol w:w="1113"/>
        <w:gridCol w:w="1114"/>
        <w:gridCol w:w="1113"/>
        <w:gridCol w:w="1113"/>
      </w:tblGrid>
      <w:tr w:rsidR="00801C06" w:rsidRPr="00D04125" w14:paraId="14B69806" w14:textId="71AF3DA6" w:rsidTr="00D04125">
        <w:trPr>
          <w:trHeight w:val="258"/>
        </w:trPr>
        <w:tc>
          <w:tcPr>
            <w:tcW w:w="1266" w:type="dxa"/>
            <w:tcBorders>
              <w:top w:val="single" w:sz="4" w:space="0" w:color="auto"/>
              <w:bottom w:val="single" w:sz="4" w:space="0" w:color="auto"/>
            </w:tcBorders>
            <w:vAlign w:val="bottom"/>
          </w:tcPr>
          <w:p w14:paraId="5618CA39" w14:textId="77777777" w:rsidR="00801C06" w:rsidRPr="00D04125" w:rsidRDefault="00801C06" w:rsidP="00212DDD">
            <w:pPr>
              <w:autoSpaceDE w:val="0"/>
              <w:autoSpaceDN w:val="0"/>
              <w:adjustRightInd w:val="0"/>
              <w:spacing w:line="240" w:lineRule="auto"/>
              <w:jc w:val="both"/>
              <w:rPr>
                <w:rFonts w:ascii="Times New Roman" w:hAnsi="Times New Roman" w:cs="Times New Roman"/>
                <w:b/>
                <w:color w:val="000000"/>
                <w:sz w:val="24"/>
                <w:szCs w:val="24"/>
              </w:rPr>
            </w:pPr>
          </w:p>
        </w:tc>
        <w:tc>
          <w:tcPr>
            <w:tcW w:w="1114" w:type="dxa"/>
            <w:tcBorders>
              <w:top w:val="single" w:sz="4" w:space="0" w:color="auto"/>
              <w:bottom w:val="single" w:sz="4" w:space="0" w:color="auto"/>
            </w:tcBorders>
            <w:vAlign w:val="bottom"/>
          </w:tcPr>
          <w:p w14:paraId="1012DD8E" w14:textId="77777777" w:rsidR="00801C06" w:rsidRPr="00D04125" w:rsidRDefault="00801C06" w:rsidP="00212DDD">
            <w:pPr>
              <w:autoSpaceDE w:val="0"/>
              <w:autoSpaceDN w:val="0"/>
              <w:adjustRightInd w:val="0"/>
              <w:spacing w:line="240" w:lineRule="auto"/>
              <w:jc w:val="both"/>
              <w:rPr>
                <w:rFonts w:ascii="Times New Roman" w:hAnsi="Times New Roman" w:cs="Times New Roman"/>
                <w:b/>
                <w:color w:val="000000"/>
                <w:sz w:val="24"/>
                <w:szCs w:val="24"/>
              </w:rPr>
            </w:pPr>
            <w:r w:rsidRPr="00D04125">
              <w:rPr>
                <w:rFonts w:ascii="Times New Roman" w:hAnsi="Times New Roman" w:cs="Times New Roman"/>
                <w:b/>
                <w:color w:val="000000"/>
                <w:sz w:val="24"/>
                <w:szCs w:val="24"/>
              </w:rPr>
              <w:t>FSK</w:t>
            </w:r>
          </w:p>
        </w:tc>
        <w:tc>
          <w:tcPr>
            <w:tcW w:w="1113" w:type="dxa"/>
            <w:tcBorders>
              <w:top w:val="single" w:sz="4" w:space="0" w:color="auto"/>
              <w:bottom w:val="single" w:sz="4" w:space="0" w:color="auto"/>
            </w:tcBorders>
            <w:vAlign w:val="bottom"/>
          </w:tcPr>
          <w:p w14:paraId="3ECA3E4B" w14:textId="77777777" w:rsidR="00801C06" w:rsidRPr="00D04125" w:rsidRDefault="00801C06" w:rsidP="00212DDD">
            <w:pPr>
              <w:autoSpaceDE w:val="0"/>
              <w:autoSpaceDN w:val="0"/>
              <w:adjustRightInd w:val="0"/>
              <w:spacing w:line="240" w:lineRule="auto"/>
              <w:jc w:val="both"/>
              <w:rPr>
                <w:rFonts w:ascii="Times New Roman" w:hAnsi="Times New Roman" w:cs="Times New Roman"/>
                <w:b/>
                <w:color w:val="000000"/>
                <w:sz w:val="24"/>
                <w:szCs w:val="24"/>
              </w:rPr>
            </w:pPr>
            <w:r w:rsidRPr="00D04125">
              <w:rPr>
                <w:rFonts w:ascii="Times New Roman" w:hAnsi="Times New Roman" w:cs="Times New Roman"/>
                <w:b/>
                <w:color w:val="000000"/>
                <w:sz w:val="24"/>
                <w:szCs w:val="24"/>
              </w:rPr>
              <w:t>CPIA</w:t>
            </w:r>
          </w:p>
        </w:tc>
        <w:tc>
          <w:tcPr>
            <w:tcW w:w="1114" w:type="dxa"/>
            <w:tcBorders>
              <w:top w:val="single" w:sz="4" w:space="0" w:color="auto"/>
              <w:bottom w:val="single" w:sz="4" w:space="0" w:color="auto"/>
            </w:tcBorders>
            <w:vAlign w:val="bottom"/>
          </w:tcPr>
          <w:p w14:paraId="6FC49571" w14:textId="77777777" w:rsidR="00801C06" w:rsidRPr="00D04125" w:rsidRDefault="00801C06" w:rsidP="00212DDD">
            <w:pPr>
              <w:autoSpaceDE w:val="0"/>
              <w:autoSpaceDN w:val="0"/>
              <w:adjustRightInd w:val="0"/>
              <w:spacing w:line="240" w:lineRule="auto"/>
              <w:jc w:val="both"/>
              <w:rPr>
                <w:rFonts w:ascii="Times New Roman" w:hAnsi="Times New Roman" w:cs="Times New Roman"/>
                <w:b/>
                <w:color w:val="000000"/>
                <w:sz w:val="24"/>
                <w:szCs w:val="24"/>
              </w:rPr>
            </w:pPr>
            <w:r w:rsidRPr="00D04125">
              <w:rPr>
                <w:rFonts w:ascii="Times New Roman" w:hAnsi="Times New Roman" w:cs="Times New Roman"/>
                <w:b/>
                <w:color w:val="000000"/>
                <w:sz w:val="24"/>
                <w:szCs w:val="24"/>
              </w:rPr>
              <w:t>DEM</w:t>
            </w:r>
          </w:p>
        </w:tc>
        <w:tc>
          <w:tcPr>
            <w:tcW w:w="1113" w:type="dxa"/>
            <w:tcBorders>
              <w:top w:val="single" w:sz="4" w:space="0" w:color="auto"/>
              <w:bottom w:val="single" w:sz="4" w:space="0" w:color="auto"/>
            </w:tcBorders>
            <w:vAlign w:val="bottom"/>
          </w:tcPr>
          <w:p w14:paraId="63A5F3DA" w14:textId="77777777" w:rsidR="00801C06" w:rsidRPr="00D04125" w:rsidRDefault="00801C06" w:rsidP="00212DDD">
            <w:pPr>
              <w:autoSpaceDE w:val="0"/>
              <w:autoSpaceDN w:val="0"/>
              <w:adjustRightInd w:val="0"/>
              <w:spacing w:line="240" w:lineRule="auto"/>
              <w:jc w:val="both"/>
              <w:rPr>
                <w:rFonts w:ascii="Times New Roman" w:hAnsi="Times New Roman" w:cs="Times New Roman"/>
                <w:b/>
                <w:color w:val="000000"/>
                <w:sz w:val="24"/>
                <w:szCs w:val="24"/>
              </w:rPr>
            </w:pPr>
            <w:r w:rsidRPr="00D04125">
              <w:rPr>
                <w:rFonts w:ascii="Times New Roman" w:hAnsi="Times New Roman" w:cs="Times New Roman"/>
                <w:b/>
                <w:color w:val="000000"/>
                <w:sz w:val="24"/>
                <w:szCs w:val="24"/>
              </w:rPr>
              <w:t>EDB</w:t>
            </w:r>
          </w:p>
        </w:tc>
        <w:tc>
          <w:tcPr>
            <w:tcW w:w="1114" w:type="dxa"/>
            <w:tcBorders>
              <w:top w:val="single" w:sz="4" w:space="0" w:color="auto"/>
              <w:bottom w:val="single" w:sz="4" w:space="0" w:color="auto"/>
            </w:tcBorders>
            <w:vAlign w:val="bottom"/>
          </w:tcPr>
          <w:p w14:paraId="7088F04C" w14:textId="77777777" w:rsidR="00801C06" w:rsidRPr="00D04125" w:rsidRDefault="00801C06" w:rsidP="00212DDD">
            <w:pPr>
              <w:autoSpaceDE w:val="0"/>
              <w:autoSpaceDN w:val="0"/>
              <w:adjustRightInd w:val="0"/>
              <w:spacing w:line="240" w:lineRule="auto"/>
              <w:jc w:val="both"/>
              <w:rPr>
                <w:rFonts w:ascii="Times New Roman" w:hAnsi="Times New Roman" w:cs="Times New Roman"/>
                <w:b/>
                <w:color w:val="000000"/>
                <w:sz w:val="24"/>
                <w:szCs w:val="24"/>
              </w:rPr>
            </w:pPr>
            <w:r w:rsidRPr="00D04125">
              <w:rPr>
                <w:rFonts w:ascii="Times New Roman" w:hAnsi="Times New Roman" w:cs="Times New Roman"/>
                <w:b/>
                <w:color w:val="000000"/>
                <w:sz w:val="24"/>
                <w:szCs w:val="24"/>
              </w:rPr>
              <w:t>FDI</w:t>
            </w:r>
          </w:p>
        </w:tc>
        <w:tc>
          <w:tcPr>
            <w:tcW w:w="1113" w:type="dxa"/>
            <w:tcBorders>
              <w:top w:val="single" w:sz="4" w:space="0" w:color="auto"/>
              <w:bottom w:val="single" w:sz="4" w:space="0" w:color="auto"/>
            </w:tcBorders>
            <w:vAlign w:val="bottom"/>
          </w:tcPr>
          <w:p w14:paraId="50778859" w14:textId="66C47B49" w:rsidR="00801C06" w:rsidRPr="00D04125" w:rsidRDefault="00801C06" w:rsidP="00212DDD">
            <w:pPr>
              <w:autoSpaceDE w:val="0"/>
              <w:autoSpaceDN w:val="0"/>
              <w:adjustRightInd w:val="0"/>
              <w:spacing w:line="240" w:lineRule="auto"/>
              <w:jc w:val="both"/>
              <w:rPr>
                <w:rFonts w:ascii="Times New Roman" w:hAnsi="Times New Roman" w:cs="Times New Roman"/>
                <w:b/>
                <w:color w:val="000000"/>
                <w:sz w:val="24"/>
                <w:szCs w:val="24"/>
              </w:rPr>
            </w:pPr>
            <w:r w:rsidRPr="00D04125">
              <w:rPr>
                <w:rFonts w:ascii="Times New Roman" w:hAnsi="Times New Roman" w:cs="Times New Roman"/>
                <w:b/>
                <w:color w:val="000000"/>
                <w:sz w:val="24"/>
                <w:szCs w:val="24"/>
              </w:rPr>
              <w:t>REN</w:t>
            </w:r>
          </w:p>
        </w:tc>
        <w:tc>
          <w:tcPr>
            <w:tcW w:w="1113" w:type="dxa"/>
            <w:tcBorders>
              <w:top w:val="single" w:sz="4" w:space="0" w:color="auto"/>
              <w:bottom w:val="single" w:sz="4" w:space="0" w:color="auto"/>
            </w:tcBorders>
          </w:tcPr>
          <w:p w14:paraId="6ADD0E9A" w14:textId="1ABA9AC7" w:rsidR="00801C06" w:rsidRPr="00D04125" w:rsidRDefault="00801C06" w:rsidP="00212DDD">
            <w:pPr>
              <w:autoSpaceDE w:val="0"/>
              <w:autoSpaceDN w:val="0"/>
              <w:adjustRightInd w:val="0"/>
              <w:spacing w:line="240" w:lineRule="auto"/>
              <w:jc w:val="both"/>
              <w:rPr>
                <w:rFonts w:ascii="Times New Roman" w:hAnsi="Times New Roman" w:cs="Times New Roman"/>
                <w:b/>
                <w:color w:val="000000"/>
                <w:sz w:val="24"/>
                <w:szCs w:val="24"/>
              </w:rPr>
            </w:pPr>
            <w:r w:rsidRPr="00D04125">
              <w:rPr>
                <w:rFonts w:ascii="Times New Roman" w:hAnsi="Times New Roman" w:cs="Times New Roman"/>
                <w:b/>
                <w:color w:val="000000"/>
                <w:sz w:val="24"/>
                <w:szCs w:val="24"/>
              </w:rPr>
              <w:t>TMP</w:t>
            </w:r>
          </w:p>
        </w:tc>
      </w:tr>
      <w:tr w:rsidR="00801C06" w:rsidRPr="00212DDD" w14:paraId="0FD7CC81" w14:textId="3D86092E" w:rsidTr="00D04125">
        <w:trPr>
          <w:trHeight w:val="258"/>
        </w:trPr>
        <w:tc>
          <w:tcPr>
            <w:tcW w:w="1266" w:type="dxa"/>
            <w:tcBorders>
              <w:top w:val="single" w:sz="4" w:space="0" w:color="auto"/>
            </w:tcBorders>
            <w:vAlign w:val="bottom"/>
          </w:tcPr>
          <w:p w14:paraId="3BF2E1EA"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Mean</w:t>
            </w:r>
          </w:p>
        </w:tc>
        <w:tc>
          <w:tcPr>
            <w:tcW w:w="1114" w:type="dxa"/>
            <w:tcBorders>
              <w:top w:val="single" w:sz="4" w:space="0" w:color="auto"/>
            </w:tcBorders>
            <w:vAlign w:val="bottom"/>
          </w:tcPr>
          <w:p w14:paraId="6FD1AFA3"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2188.139</w:t>
            </w:r>
          </w:p>
        </w:tc>
        <w:tc>
          <w:tcPr>
            <w:tcW w:w="1113" w:type="dxa"/>
            <w:tcBorders>
              <w:top w:val="single" w:sz="4" w:space="0" w:color="auto"/>
            </w:tcBorders>
            <w:vAlign w:val="bottom"/>
          </w:tcPr>
          <w:p w14:paraId="5A4BF40D"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1.596</w:t>
            </w:r>
          </w:p>
        </w:tc>
        <w:tc>
          <w:tcPr>
            <w:tcW w:w="1114" w:type="dxa"/>
            <w:tcBorders>
              <w:top w:val="single" w:sz="4" w:space="0" w:color="auto"/>
            </w:tcBorders>
            <w:vAlign w:val="bottom"/>
          </w:tcPr>
          <w:p w14:paraId="2EDE8FE2"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0.423</w:t>
            </w:r>
          </w:p>
        </w:tc>
        <w:tc>
          <w:tcPr>
            <w:tcW w:w="1113" w:type="dxa"/>
            <w:tcBorders>
              <w:top w:val="single" w:sz="4" w:space="0" w:color="auto"/>
            </w:tcBorders>
            <w:vAlign w:val="bottom"/>
          </w:tcPr>
          <w:p w14:paraId="2B429FED"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10.818</w:t>
            </w:r>
          </w:p>
        </w:tc>
        <w:tc>
          <w:tcPr>
            <w:tcW w:w="1114" w:type="dxa"/>
            <w:tcBorders>
              <w:top w:val="single" w:sz="4" w:space="0" w:color="auto"/>
            </w:tcBorders>
            <w:vAlign w:val="bottom"/>
          </w:tcPr>
          <w:p w14:paraId="35FE243C"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4.432</w:t>
            </w:r>
          </w:p>
        </w:tc>
        <w:tc>
          <w:tcPr>
            <w:tcW w:w="1113" w:type="dxa"/>
            <w:tcBorders>
              <w:top w:val="single" w:sz="4" w:space="0" w:color="auto"/>
            </w:tcBorders>
            <w:vAlign w:val="bottom"/>
          </w:tcPr>
          <w:p w14:paraId="71C0E32B"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40.195</w:t>
            </w:r>
          </w:p>
        </w:tc>
        <w:tc>
          <w:tcPr>
            <w:tcW w:w="1113" w:type="dxa"/>
            <w:tcBorders>
              <w:top w:val="single" w:sz="4" w:space="0" w:color="auto"/>
            </w:tcBorders>
            <w:vAlign w:val="bottom"/>
          </w:tcPr>
          <w:p w14:paraId="5A1AFE74" w14:textId="3CFE442E"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1.441</w:t>
            </w:r>
          </w:p>
        </w:tc>
      </w:tr>
      <w:tr w:rsidR="00801C06" w:rsidRPr="00212DDD" w14:paraId="4FCC005B" w14:textId="58A092B0" w:rsidTr="00D04125">
        <w:trPr>
          <w:trHeight w:val="258"/>
        </w:trPr>
        <w:tc>
          <w:tcPr>
            <w:tcW w:w="1266" w:type="dxa"/>
            <w:vAlign w:val="bottom"/>
          </w:tcPr>
          <w:p w14:paraId="64CD2948"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Median</w:t>
            </w:r>
          </w:p>
        </w:tc>
        <w:tc>
          <w:tcPr>
            <w:tcW w:w="1114" w:type="dxa"/>
            <w:vAlign w:val="bottom"/>
          </w:tcPr>
          <w:p w14:paraId="2DB5A6BE"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2348.788</w:t>
            </w:r>
          </w:p>
        </w:tc>
        <w:tc>
          <w:tcPr>
            <w:tcW w:w="1113" w:type="dxa"/>
            <w:vAlign w:val="bottom"/>
          </w:tcPr>
          <w:p w14:paraId="2CCA9CF8"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2.000</w:t>
            </w:r>
          </w:p>
        </w:tc>
        <w:tc>
          <w:tcPr>
            <w:tcW w:w="1114" w:type="dxa"/>
            <w:vAlign w:val="bottom"/>
          </w:tcPr>
          <w:p w14:paraId="73F496AE"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0.397</w:t>
            </w:r>
          </w:p>
        </w:tc>
        <w:tc>
          <w:tcPr>
            <w:tcW w:w="1113" w:type="dxa"/>
            <w:vAlign w:val="bottom"/>
          </w:tcPr>
          <w:p w14:paraId="09458115"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0.000</w:t>
            </w:r>
          </w:p>
        </w:tc>
        <w:tc>
          <w:tcPr>
            <w:tcW w:w="1114" w:type="dxa"/>
            <w:vAlign w:val="bottom"/>
          </w:tcPr>
          <w:p w14:paraId="4A75BD73"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2.255</w:t>
            </w:r>
          </w:p>
        </w:tc>
        <w:tc>
          <w:tcPr>
            <w:tcW w:w="1113" w:type="dxa"/>
            <w:vAlign w:val="bottom"/>
          </w:tcPr>
          <w:p w14:paraId="21F1AECF"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28.266</w:t>
            </w:r>
          </w:p>
        </w:tc>
        <w:tc>
          <w:tcPr>
            <w:tcW w:w="1113" w:type="dxa"/>
            <w:vAlign w:val="bottom"/>
          </w:tcPr>
          <w:p w14:paraId="23284F05" w14:textId="018A800B"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0.968</w:t>
            </w:r>
          </w:p>
        </w:tc>
      </w:tr>
      <w:tr w:rsidR="00801C06" w:rsidRPr="00212DDD" w14:paraId="1176AF84" w14:textId="5C6C2791" w:rsidTr="00D04125">
        <w:trPr>
          <w:trHeight w:val="258"/>
        </w:trPr>
        <w:tc>
          <w:tcPr>
            <w:tcW w:w="1266" w:type="dxa"/>
            <w:vAlign w:val="bottom"/>
          </w:tcPr>
          <w:p w14:paraId="603695FF"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Maximum</w:t>
            </w:r>
          </w:p>
        </w:tc>
        <w:tc>
          <w:tcPr>
            <w:tcW w:w="1114" w:type="dxa"/>
            <w:vAlign w:val="bottom"/>
          </w:tcPr>
          <w:p w14:paraId="292549E7"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3588.146</w:t>
            </w:r>
          </w:p>
        </w:tc>
        <w:tc>
          <w:tcPr>
            <w:tcW w:w="1113" w:type="dxa"/>
            <w:vAlign w:val="bottom"/>
          </w:tcPr>
          <w:p w14:paraId="1690FCD6"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4.500</w:t>
            </w:r>
          </w:p>
        </w:tc>
        <w:tc>
          <w:tcPr>
            <w:tcW w:w="1114" w:type="dxa"/>
            <w:vAlign w:val="bottom"/>
          </w:tcPr>
          <w:p w14:paraId="53405005"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0.806</w:t>
            </w:r>
          </w:p>
        </w:tc>
        <w:tc>
          <w:tcPr>
            <w:tcW w:w="1113" w:type="dxa"/>
            <w:vAlign w:val="bottom"/>
          </w:tcPr>
          <w:p w14:paraId="654AA515"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81.468</w:t>
            </w:r>
          </w:p>
        </w:tc>
        <w:tc>
          <w:tcPr>
            <w:tcW w:w="1114" w:type="dxa"/>
            <w:vAlign w:val="bottom"/>
          </w:tcPr>
          <w:p w14:paraId="7BAC0B97"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103.337</w:t>
            </w:r>
          </w:p>
        </w:tc>
        <w:tc>
          <w:tcPr>
            <w:tcW w:w="1113" w:type="dxa"/>
            <w:vAlign w:val="bottom"/>
          </w:tcPr>
          <w:p w14:paraId="12458E74"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100.000</w:t>
            </w:r>
          </w:p>
        </w:tc>
        <w:tc>
          <w:tcPr>
            <w:tcW w:w="1113" w:type="dxa"/>
            <w:vAlign w:val="bottom"/>
          </w:tcPr>
          <w:p w14:paraId="3C36BAB8" w14:textId="395EC59E"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27.370</w:t>
            </w:r>
          </w:p>
        </w:tc>
      </w:tr>
      <w:tr w:rsidR="00801C06" w:rsidRPr="00212DDD" w14:paraId="4946B047" w14:textId="1AA604E8" w:rsidTr="00D04125">
        <w:trPr>
          <w:trHeight w:val="258"/>
        </w:trPr>
        <w:tc>
          <w:tcPr>
            <w:tcW w:w="1266" w:type="dxa"/>
            <w:vAlign w:val="bottom"/>
          </w:tcPr>
          <w:p w14:paraId="11381759"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Minimum</w:t>
            </w:r>
          </w:p>
        </w:tc>
        <w:tc>
          <w:tcPr>
            <w:tcW w:w="1114" w:type="dxa"/>
            <w:vAlign w:val="bottom"/>
          </w:tcPr>
          <w:p w14:paraId="2FE4743F"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0.000</w:t>
            </w:r>
          </w:p>
        </w:tc>
        <w:tc>
          <w:tcPr>
            <w:tcW w:w="1113" w:type="dxa"/>
            <w:vAlign w:val="bottom"/>
          </w:tcPr>
          <w:p w14:paraId="6A4C503A"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0.000</w:t>
            </w:r>
          </w:p>
        </w:tc>
        <w:tc>
          <w:tcPr>
            <w:tcW w:w="1114" w:type="dxa"/>
            <w:vAlign w:val="bottom"/>
          </w:tcPr>
          <w:p w14:paraId="0CAEBBE2"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0.072</w:t>
            </w:r>
          </w:p>
        </w:tc>
        <w:tc>
          <w:tcPr>
            <w:tcW w:w="1113" w:type="dxa"/>
            <w:vAlign w:val="bottom"/>
          </w:tcPr>
          <w:p w14:paraId="266A756A"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0.000</w:t>
            </w:r>
          </w:p>
        </w:tc>
        <w:tc>
          <w:tcPr>
            <w:tcW w:w="1114" w:type="dxa"/>
            <w:vAlign w:val="bottom"/>
          </w:tcPr>
          <w:p w14:paraId="5D2732B5"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-17.292</w:t>
            </w:r>
          </w:p>
        </w:tc>
        <w:tc>
          <w:tcPr>
            <w:tcW w:w="1113" w:type="dxa"/>
            <w:vAlign w:val="bottom"/>
          </w:tcPr>
          <w:p w14:paraId="43D1235E"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0.000</w:t>
            </w:r>
          </w:p>
        </w:tc>
        <w:tc>
          <w:tcPr>
            <w:tcW w:w="1113" w:type="dxa"/>
            <w:vAlign w:val="bottom"/>
          </w:tcPr>
          <w:p w14:paraId="6E16E682" w14:textId="03D00AE8"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-1.305</w:t>
            </w:r>
          </w:p>
        </w:tc>
      </w:tr>
      <w:tr w:rsidR="00801C06" w:rsidRPr="00212DDD" w14:paraId="1E539079" w14:textId="7F960C33" w:rsidTr="00D04125">
        <w:trPr>
          <w:trHeight w:val="258"/>
        </w:trPr>
        <w:tc>
          <w:tcPr>
            <w:tcW w:w="1266" w:type="dxa"/>
            <w:vAlign w:val="bottom"/>
          </w:tcPr>
          <w:p w14:paraId="37E5798C"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Std. Dev.</w:t>
            </w:r>
          </w:p>
        </w:tc>
        <w:tc>
          <w:tcPr>
            <w:tcW w:w="1114" w:type="dxa"/>
            <w:vAlign w:val="bottom"/>
          </w:tcPr>
          <w:p w14:paraId="7974BCF5"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836.358</w:t>
            </w:r>
          </w:p>
        </w:tc>
        <w:tc>
          <w:tcPr>
            <w:tcW w:w="1113" w:type="dxa"/>
            <w:vAlign w:val="bottom"/>
          </w:tcPr>
          <w:p w14:paraId="0E81FFB0"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1.440</w:t>
            </w:r>
          </w:p>
        </w:tc>
        <w:tc>
          <w:tcPr>
            <w:tcW w:w="1114" w:type="dxa"/>
            <w:vAlign w:val="bottom"/>
          </w:tcPr>
          <w:p w14:paraId="2C3AC001"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0.187</w:t>
            </w:r>
          </w:p>
        </w:tc>
        <w:tc>
          <w:tcPr>
            <w:tcW w:w="1113" w:type="dxa"/>
            <w:vAlign w:val="bottom"/>
          </w:tcPr>
          <w:p w14:paraId="64E4C1A0"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21.446</w:t>
            </w:r>
          </w:p>
        </w:tc>
        <w:tc>
          <w:tcPr>
            <w:tcW w:w="1114" w:type="dxa"/>
            <w:vAlign w:val="bottom"/>
          </w:tcPr>
          <w:p w14:paraId="36E4FA1B"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8.712</w:t>
            </w:r>
          </w:p>
        </w:tc>
        <w:tc>
          <w:tcPr>
            <w:tcW w:w="1113" w:type="dxa"/>
            <w:vAlign w:val="bottom"/>
          </w:tcPr>
          <w:p w14:paraId="095BB5A1"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37.907</w:t>
            </w:r>
          </w:p>
        </w:tc>
        <w:tc>
          <w:tcPr>
            <w:tcW w:w="1113" w:type="dxa"/>
            <w:vAlign w:val="bottom"/>
          </w:tcPr>
          <w:p w14:paraId="3A5EEDD9" w14:textId="5F3F1050"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3.636</w:t>
            </w:r>
          </w:p>
        </w:tc>
      </w:tr>
      <w:tr w:rsidR="00801C06" w:rsidRPr="00212DDD" w14:paraId="0364FFE6" w14:textId="66D77845" w:rsidTr="00D04125">
        <w:trPr>
          <w:trHeight w:val="258"/>
        </w:trPr>
        <w:tc>
          <w:tcPr>
            <w:tcW w:w="1266" w:type="dxa"/>
            <w:vAlign w:val="bottom"/>
          </w:tcPr>
          <w:p w14:paraId="06DA212A"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w:t>
            </w:r>
            <w:proofErr w:type="spellStart"/>
            <w:r w:rsidRPr="00212DDD">
              <w:rPr>
                <w:rFonts w:ascii="Times New Roman" w:hAnsi="Times New Roman" w:cs="Times New Roman"/>
                <w:color w:val="000000"/>
                <w:sz w:val="24"/>
                <w:szCs w:val="24"/>
              </w:rPr>
              <w:t>Skewness</w:t>
            </w:r>
            <w:proofErr w:type="spellEnd"/>
          </w:p>
        </w:tc>
        <w:tc>
          <w:tcPr>
            <w:tcW w:w="1114" w:type="dxa"/>
            <w:vAlign w:val="bottom"/>
          </w:tcPr>
          <w:p w14:paraId="79370C5D"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-1.626</w:t>
            </w:r>
          </w:p>
        </w:tc>
        <w:tc>
          <w:tcPr>
            <w:tcW w:w="1113" w:type="dxa"/>
            <w:vAlign w:val="bottom"/>
          </w:tcPr>
          <w:p w14:paraId="4FE25042"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0.011</w:t>
            </w:r>
          </w:p>
        </w:tc>
        <w:tc>
          <w:tcPr>
            <w:tcW w:w="1114" w:type="dxa"/>
            <w:vAlign w:val="bottom"/>
          </w:tcPr>
          <w:p w14:paraId="382DD336"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0.314</w:t>
            </w:r>
          </w:p>
        </w:tc>
        <w:tc>
          <w:tcPr>
            <w:tcW w:w="1113" w:type="dxa"/>
            <w:vAlign w:val="bottom"/>
          </w:tcPr>
          <w:p w14:paraId="510C9349"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1.647</w:t>
            </w:r>
          </w:p>
        </w:tc>
        <w:tc>
          <w:tcPr>
            <w:tcW w:w="1114" w:type="dxa"/>
            <w:vAlign w:val="bottom"/>
          </w:tcPr>
          <w:p w14:paraId="6A7B3B19"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5.089</w:t>
            </w:r>
          </w:p>
        </w:tc>
        <w:tc>
          <w:tcPr>
            <w:tcW w:w="1113" w:type="dxa"/>
            <w:vAlign w:val="bottom"/>
          </w:tcPr>
          <w:p w14:paraId="14971749"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0.362</w:t>
            </w:r>
          </w:p>
        </w:tc>
        <w:tc>
          <w:tcPr>
            <w:tcW w:w="1113" w:type="dxa"/>
            <w:vAlign w:val="bottom"/>
          </w:tcPr>
          <w:p w14:paraId="732DD21E" w14:textId="1161C972"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6.746</w:t>
            </w:r>
          </w:p>
        </w:tc>
      </w:tr>
      <w:tr w:rsidR="00801C06" w:rsidRPr="00212DDD" w14:paraId="73B8105E" w14:textId="3FE2CE0C" w:rsidTr="00D04125">
        <w:trPr>
          <w:trHeight w:val="258"/>
        </w:trPr>
        <w:tc>
          <w:tcPr>
            <w:tcW w:w="1266" w:type="dxa"/>
            <w:vAlign w:val="bottom"/>
          </w:tcPr>
          <w:p w14:paraId="54B9CCC1"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Kurtosis</w:t>
            </w:r>
          </w:p>
        </w:tc>
        <w:tc>
          <w:tcPr>
            <w:tcW w:w="1114" w:type="dxa"/>
            <w:vAlign w:val="bottom"/>
          </w:tcPr>
          <w:p w14:paraId="76F0FCC6"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5.231</w:t>
            </w:r>
          </w:p>
        </w:tc>
        <w:tc>
          <w:tcPr>
            <w:tcW w:w="1113" w:type="dxa"/>
            <w:vAlign w:val="bottom"/>
          </w:tcPr>
          <w:p w14:paraId="161E3104"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1.406</w:t>
            </w:r>
          </w:p>
        </w:tc>
        <w:tc>
          <w:tcPr>
            <w:tcW w:w="1114" w:type="dxa"/>
            <w:vAlign w:val="bottom"/>
          </w:tcPr>
          <w:p w14:paraId="1F4B2E50"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1.992</w:t>
            </w:r>
          </w:p>
        </w:tc>
        <w:tc>
          <w:tcPr>
            <w:tcW w:w="1113" w:type="dxa"/>
            <w:vAlign w:val="bottom"/>
          </w:tcPr>
          <w:p w14:paraId="223C6DF5"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4.030</w:t>
            </w:r>
          </w:p>
        </w:tc>
        <w:tc>
          <w:tcPr>
            <w:tcW w:w="1114" w:type="dxa"/>
            <w:vAlign w:val="bottom"/>
          </w:tcPr>
          <w:p w14:paraId="03532101"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38.791</w:t>
            </w:r>
          </w:p>
        </w:tc>
        <w:tc>
          <w:tcPr>
            <w:tcW w:w="1113" w:type="dxa"/>
            <w:vAlign w:val="bottom"/>
          </w:tcPr>
          <w:p w14:paraId="2725E467"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1.541</w:t>
            </w:r>
          </w:p>
        </w:tc>
        <w:tc>
          <w:tcPr>
            <w:tcW w:w="1113" w:type="dxa"/>
            <w:vAlign w:val="bottom"/>
          </w:tcPr>
          <w:p w14:paraId="7B0773A7" w14:textId="6F79E1F8"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47.364</w:t>
            </w:r>
          </w:p>
        </w:tc>
      </w:tr>
      <w:tr w:rsidR="00801C06" w:rsidRPr="00212DDD" w14:paraId="2053D829" w14:textId="67ECD0F1" w:rsidTr="00D04125">
        <w:trPr>
          <w:trHeight w:val="258"/>
        </w:trPr>
        <w:tc>
          <w:tcPr>
            <w:tcW w:w="1266" w:type="dxa"/>
            <w:vAlign w:val="bottom"/>
          </w:tcPr>
          <w:p w14:paraId="7758EBE4"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w:t>
            </w:r>
            <w:proofErr w:type="spellStart"/>
            <w:r w:rsidRPr="00212DDD">
              <w:rPr>
                <w:rFonts w:ascii="Times New Roman" w:hAnsi="Times New Roman" w:cs="Times New Roman"/>
                <w:color w:val="000000"/>
                <w:sz w:val="24"/>
                <w:szCs w:val="24"/>
              </w:rPr>
              <w:t>Jarque-Bera</w:t>
            </w:r>
            <w:proofErr w:type="spellEnd"/>
          </w:p>
        </w:tc>
        <w:tc>
          <w:tcPr>
            <w:tcW w:w="1114" w:type="dxa"/>
            <w:vAlign w:val="bottom"/>
          </w:tcPr>
          <w:p w14:paraId="295E92E0"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759.185</w:t>
            </w:r>
          </w:p>
        </w:tc>
        <w:tc>
          <w:tcPr>
            <w:tcW w:w="1113" w:type="dxa"/>
            <w:vAlign w:val="bottom"/>
          </w:tcPr>
          <w:p w14:paraId="2C355765"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124.052</w:t>
            </w:r>
          </w:p>
        </w:tc>
        <w:tc>
          <w:tcPr>
            <w:tcW w:w="1114" w:type="dxa"/>
            <w:vAlign w:val="bottom"/>
          </w:tcPr>
          <w:p w14:paraId="15668420"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68.829</w:t>
            </w:r>
          </w:p>
        </w:tc>
        <w:tc>
          <w:tcPr>
            <w:tcW w:w="1113" w:type="dxa"/>
            <w:vAlign w:val="bottom"/>
          </w:tcPr>
          <w:p w14:paraId="18E78F94"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581.752</w:t>
            </w:r>
          </w:p>
        </w:tc>
        <w:tc>
          <w:tcPr>
            <w:tcW w:w="1114" w:type="dxa"/>
            <w:vAlign w:val="bottom"/>
          </w:tcPr>
          <w:p w14:paraId="067BCCFA"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67613.98</w:t>
            </w:r>
          </w:p>
        </w:tc>
        <w:tc>
          <w:tcPr>
            <w:tcW w:w="1113" w:type="dxa"/>
            <w:vAlign w:val="bottom"/>
          </w:tcPr>
          <w:p w14:paraId="56734CBD"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129.489</w:t>
            </w:r>
          </w:p>
        </w:tc>
        <w:tc>
          <w:tcPr>
            <w:tcW w:w="1113" w:type="dxa"/>
            <w:vAlign w:val="bottom"/>
          </w:tcPr>
          <w:p w14:paraId="03189063" w14:textId="31DED2D8"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104998.9</w:t>
            </w:r>
          </w:p>
        </w:tc>
      </w:tr>
      <w:tr w:rsidR="00801C06" w:rsidRPr="00212DDD" w14:paraId="7A85E28F" w14:textId="6067C97B" w:rsidTr="00D04125">
        <w:trPr>
          <w:trHeight w:val="258"/>
        </w:trPr>
        <w:tc>
          <w:tcPr>
            <w:tcW w:w="1266" w:type="dxa"/>
            <w:vAlign w:val="bottom"/>
          </w:tcPr>
          <w:p w14:paraId="4B986D24"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Probability</w:t>
            </w:r>
          </w:p>
        </w:tc>
        <w:tc>
          <w:tcPr>
            <w:tcW w:w="1114" w:type="dxa"/>
            <w:vAlign w:val="bottom"/>
          </w:tcPr>
          <w:p w14:paraId="319FEC86"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0.000</w:t>
            </w:r>
          </w:p>
        </w:tc>
        <w:tc>
          <w:tcPr>
            <w:tcW w:w="1113" w:type="dxa"/>
            <w:vAlign w:val="bottom"/>
          </w:tcPr>
          <w:p w14:paraId="5F41A07A"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0.000</w:t>
            </w:r>
          </w:p>
        </w:tc>
        <w:tc>
          <w:tcPr>
            <w:tcW w:w="1114" w:type="dxa"/>
            <w:vAlign w:val="bottom"/>
          </w:tcPr>
          <w:p w14:paraId="73B65351"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0.000</w:t>
            </w:r>
          </w:p>
        </w:tc>
        <w:tc>
          <w:tcPr>
            <w:tcW w:w="1113" w:type="dxa"/>
            <w:vAlign w:val="bottom"/>
          </w:tcPr>
          <w:p w14:paraId="34A732F4"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0.000</w:t>
            </w:r>
          </w:p>
        </w:tc>
        <w:tc>
          <w:tcPr>
            <w:tcW w:w="1114" w:type="dxa"/>
            <w:vAlign w:val="bottom"/>
          </w:tcPr>
          <w:p w14:paraId="0D5A7D1B"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0.000</w:t>
            </w:r>
          </w:p>
        </w:tc>
        <w:tc>
          <w:tcPr>
            <w:tcW w:w="1113" w:type="dxa"/>
            <w:vAlign w:val="bottom"/>
          </w:tcPr>
          <w:p w14:paraId="637E2CB4"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0.000</w:t>
            </w:r>
          </w:p>
        </w:tc>
        <w:tc>
          <w:tcPr>
            <w:tcW w:w="1113" w:type="dxa"/>
            <w:vAlign w:val="bottom"/>
          </w:tcPr>
          <w:p w14:paraId="08A95146" w14:textId="4C4B6396"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0.000</w:t>
            </w:r>
          </w:p>
        </w:tc>
      </w:tr>
      <w:tr w:rsidR="00801C06" w:rsidRPr="00212DDD" w14:paraId="6994BB46" w14:textId="629FAFE3" w:rsidTr="00D04125">
        <w:trPr>
          <w:trHeight w:val="258"/>
        </w:trPr>
        <w:tc>
          <w:tcPr>
            <w:tcW w:w="1266" w:type="dxa"/>
            <w:vAlign w:val="bottom"/>
          </w:tcPr>
          <w:p w14:paraId="7D517ABC"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Sum</w:t>
            </w:r>
          </w:p>
        </w:tc>
        <w:tc>
          <w:tcPr>
            <w:tcW w:w="1114" w:type="dxa"/>
            <w:vAlign w:val="bottom"/>
          </w:tcPr>
          <w:p w14:paraId="39DE88FD"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2564499.</w:t>
            </w:r>
          </w:p>
        </w:tc>
        <w:tc>
          <w:tcPr>
            <w:tcW w:w="1113" w:type="dxa"/>
            <w:vAlign w:val="bottom"/>
          </w:tcPr>
          <w:p w14:paraId="293A3425"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1870.500</w:t>
            </w:r>
          </w:p>
        </w:tc>
        <w:tc>
          <w:tcPr>
            <w:tcW w:w="1114" w:type="dxa"/>
            <w:vAlign w:val="bottom"/>
          </w:tcPr>
          <w:p w14:paraId="38EF27F0"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495.856</w:t>
            </w:r>
          </w:p>
        </w:tc>
        <w:tc>
          <w:tcPr>
            <w:tcW w:w="1113" w:type="dxa"/>
            <w:vAlign w:val="bottom"/>
          </w:tcPr>
          <w:p w14:paraId="49DBFA61"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12678.770</w:t>
            </w:r>
          </w:p>
        </w:tc>
        <w:tc>
          <w:tcPr>
            <w:tcW w:w="1114" w:type="dxa"/>
            <w:vAlign w:val="bottom"/>
          </w:tcPr>
          <w:p w14:paraId="17212D10"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5193.665</w:t>
            </w:r>
          </w:p>
        </w:tc>
        <w:tc>
          <w:tcPr>
            <w:tcW w:w="1113" w:type="dxa"/>
            <w:vAlign w:val="bottom"/>
          </w:tcPr>
          <w:p w14:paraId="6ECA7FC6"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47108.50</w:t>
            </w:r>
          </w:p>
        </w:tc>
        <w:tc>
          <w:tcPr>
            <w:tcW w:w="1113" w:type="dxa"/>
            <w:vAlign w:val="bottom"/>
          </w:tcPr>
          <w:p w14:paraId="232B7FEB" w14:textId="03385766"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1688.158</w:t>
            </w:r>
          </w:p>
        </w:tc>
      </w:tr>
      <w:tr w:rsidR="00801C06" w:rsidRPr="00212DDD" w14:paraId="3A544246" w14:textId="56D715CA" w:rsidTr="00D04125">
        <w:trPr>
          <w:trHeight w:val="258"/>
        </w:trPr>
        <w:tc>
          <w:tcPr>
            <w:tcW w:w="1266" w:type="dxa"/>
            <w:vAlign w:val="bottom"/>
          </w:tcPr>
          <w:p w14:paraId="09E15F4C"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Sum Sq. Dev.</w:t>
            </w:r>
          </w:p>
        </w:tc>
        <w:tc>
          <w:tcPr>
            <w:tcW w:w="1114" w:type="dxa"/>
            <w:vAlign w:val="bottom"/>
          </w:tcPr>
          <w:p w14:paraId="2611AB8C"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8.19E+08</w:t>
            </w:r>
          </w:p>
        </w:tc>
        <w:tc>
          <w:tcPr>
            <w:tcW w:w="1113" w:type="dxa"/>
            <w:vAlign w:val="bottom"/>
          </w:tcPr>
          <w:p w14:paraId="0EEED189"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2428.951</w:t>
            </w:r>
          </w:p>
        </w:tc>
        <w:tc>
          <w:tcPr>
            <w:tcW w:w="1114" w:type="dxa"/>
            <w:vAlign w:val="bottom"/>
          </w:tcPr>
          <w:p w14:paraId="7AE926AB"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41.022</w:t>
            </w:r>
          </w:p>
        </w:tc>
        <w:tc>
          <w:tcPr>
            <w:tcW w:w="1113" w:type="dxa"/>
            <w:vAlign w:val="bottom"/>
          </w:tcPr>
          <w:p w14:paraId="5D7D6D46"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538567.8</w:t>
            </w:r>
          </w:p>
        </w:tc>
        <w:tc>
          <w:tcPr>
            <w:tcW w:w="1114" w:type="dxa"/>
            <w:vAlign w:val="bottom"/>
          </w:tcPr>
          <w:p w14:paraId="2FD5F9B6"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88879.65</w:t>
            </w:r>
          </w:p>
        </w:tc>
        <w:tc>
          <w:tcPr>
            <w:tcW w:w="1113" w:type="dxa"/>
            <w:vAlign w:val="bottom"/>
          </w:tcPr>
          <w:p w14:paraId="3ED98872"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1682676.</w:t>
            </w:r>
          </w:p>
        </w:tc>
        <w:tc>
          <w:tcPr>
            <w:tcW w:w="1113" w:type="dxa"/>
            <w:vAlign w:val="bottom"/>
          </w:tcPr>
          <w:p w14:paraId="146BC1CC" w14:textId="237D98BB"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15478.78</w:t>
            </w:r>
          </w:p>
        </w:tc>
      </w:tr>
      <w:tr w:rsidR="00801C06" w:rsidRPr="00212DDD" w14:paraId="55B504C8" w14:textId="04F679AB" w:rsidTr="00D04125">
        <w:trPr>
          <w:trHeight w:val="258"/>
        </w:trPr>
        <w:tc>
          <w:tcPr>
            <w:tcW w:w="1266" w:type="dxa"/>
            <w:vAlign w:val="bottom"/>
          </w:tcPr>
          <w:p w14:paraId="4D7F4E7F"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Observations</w:t>
            </w:r>
          </w:p>
        </w:tc>
        <w:tc>
          <w:tcPr>
            <w:tcW w:w="1114" w:type="dxa"/>
            <w:vAlign w:val="bottom"/>
          </w:tcPr>
          <w:p w14:paraId="27F33A86"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1172</w:t>
            </w:r>
          </w:p>
        </w:tc>
        <w:tc>
          <w:tcPr>
            <w:tcW w:w="1113" w:type="dxa"/>
            <w:vAlign w:val="bottom"/>
          </w:tcPr>
          <w:p w14:paraId="3918FF19"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1172</w:t>
            </w:r>
          </w:p>
        </w:tc>
        <w:tc>
          <w:tcPr>
            <w:tcW w:w="1114" w:type="dxa"/>
            <w:vAlign w:val="bottom"/>
          </w:tcPr>
          <w:p w14:paraId="0EFF2273"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1172</w:t>
            </w:r>
          </w:p>
        </w:tc>
        <w:tc>
          <w:tcPr>
            <w:tcW w:w="1113" w:type="dxa"/>
            <w:vAlign w:val="bottom"/>
          </w:tcPr>
          <w:p w14:paraId="6CD94A60"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1172</w:t>
            </w:r>
          </w:p>
        </w:tc>
        <w:tc>
          <w:tcPr>
            <w:tcW w:w="1114" w:type="dxa"/>
            <w:vAlign w:val="bottom"/>
          </w:tcPr>
          <w:p w14:paraId="67073258"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1172</w:t>
            </w:r>
          </w:p>
        </w:tc>
        <w:tc>
          <w:tcPr>
            <w:tcW w:w="1113" w:type="dxa"/>
            <w:vAlign w:val="bottom"/>
          </w:tcPr>
          <w:p w14:paraId="1A234259" w14:textId="77777777"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1172</w:t>
            </w:r>
          </w:p>
        </w:tc>
        <w:tc>
          <w:tcPr>
            <w:tcW w:w="1113" w:type="dxa"/>
            <w:vAlign w:val="bottom"/>
          </w:tcPr>
          <w:p w14:paraId="7EA63E54" w14:textId="24590C03" w:rsidR="00801C06" w:rsidRPr="00212DDD" w:rsidRDefault="00801C06"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1172</w:t>
            </w:r>
          </w:p>
        </w:tc>
      </w:tr>
    </w:tbl>
    <w:p w14:paraId="3B061164" w14:textId="5EBA78D6" w:rsidR="00801C06" w:rsidRPr="00212DDD" w:rsidRDefault="007E019F" w:rsidP="00212DDD">
      <w:pPr>
        <w:jc w:val="both"/>
        <w:rPr>
          <w:rFonts w:ascii="Times New Roman" w:hAnsi="Times New Roman" w:cs="Times New Roman"/>
          <w:b/>
          <w:sz w:val="24"/>
          <w:szCs w:val="24"/>
        </w:rPr>
      </w:pPr>
      <w:r w:rsidRPr="00212DDD">
        <w:rPr>
          <w:rFonts w:ascii="Times New Roman" w:hAnsi="Times New Roman" w:cs="Times New Roman"/>
          <w:sz w:val="24"/>
          <w:szCs w:val="24"/>
        </w:rPr>
        <w:t xml:space="preserve">Source: </w:t>
      </w:r>
      <w:proofErr w:type="spellStart"/>
      <w:r w:rsidRPr="00212DDD">
        <w:rPr>
          <w:rFonts w:ascii="Times New Roman" w:hAnsi="Times New Roman" w:cs="Times New Roman"/>
          <w:sz w:val="24"/>
          <w:szCs w:val="24"/>
        </w:rPr>
        <w:t>Eviews</w:t>
      </w:r>
      <w:proofErr w:type="spellEnd"/>
      <w:r w:rsidRPr="00212DDD">
        <w:rPr>
          <w:rFonts w:ascii="Times New Roman" w:hAnsi="Times New Roman" w:cs="Times New Roman"/>
          <w:sz w:val="24"/>
          <w:szCs w:val="24"/>
        </w:rPr>
        <w:t xml:space="preserve"> Output and Authors' Computation, 2024.</w:t>
      </w:r>
    </w:p>
    <w:p w14:paraId="72D60483" w14:textId="77777777" w:rsidR="00801C06" w:rsidRPr="00212DDD" w:rsidRDefault="00801C06" w:rsidP="00212DDD">
      <w:pPr>
        <w:jc w:val="both"/>
        <w:rPr>
          <w:rFonts w:ascii="Times New Roman" w:hAnsi="Times New Roman" w:cs="Times New Roman"/>
          <w:b/>
          <w:sz w:val="24"/>
          <w:szCs w:val="24"/>
        </w:rPr>
      </w:pPr>
    </w:p>
    <w:p w14:paraId="177817F8" w14:textId="77777777" w:rsidR="00801C06" w:rsidRPr="00212DDD" w:rsidRDefault="00801C06" w:rsidP="00212DDD">
      <w:pPr>
        <w:jc w:val="both"/>
        <w:rPr>
          <w:rFonts w:ascii="Times New Roman" w:hAnsi="Times New Roman" w:cs="Times New Roman"/>
          <w:b/>
          <w:sz w:val="24"/>
          <w:szCs w:val="24"/>
        </w:rPr>
      </w:pPr>
    </w:p>
    <w:p w14:paraId="229A36C0" w14:textId="77777777" w:rsidR="007E019F" w:rsidRPr="00212DDD" w:rsidRDefault="007E019F" w:rsidP="00212DDD">
      <w:pPr>
        <w:jc w:val="both"/>
        <w:rPr>
          <w:rFonts w:ascii="Times New Roman" w:hAnsi="Times New Roman" w:cs="Times New Roman"/>
          <w:sz w:val="24"/>
          <w:szCs w:val="24"/>
        </w:rPr>
      </w:pPr>
      <w:r w:rsidRPr="00212DDD">
        <w:rPr>
          <w:rFonts w:ascii="Times New Roman" w:hAnsi="Times New Roman" w:cs="Times New Roman"/>
          <w:sz w:val="24"/>
          <w:szCs w:val="24"/>
        </w:rPr>
        <w:t>The percentage distribution of renewable energy generation across African countries, as depicted in Figure 4.1, presents a mixed picture regarding the adoption and integration of renewable energy sources. Some nations demonstrate promising figures, such as Burundi, with a substantial 4.29%, and Lesotho, Malawi, Mozambique, Namibia, and Zambia, all exceeding 4% renewable energy generation. These figures highlight commendable efforts towards transitioning to sustainable energy sources, aligning with global environmental goals.</w:t>
      </w:r>
    </w:p>
    <w:p w14:paraId="11332816" w14:textId="77777777" w:rsidR="007E019F" w:rsidRPr="00EA52C7" w:rsidRDefault="007E019F" w:rsidP="00212DDD">
      <w:pPr>
        <w:jc w:val="both"/>
        <w:rPr>
          <w:rFonts w:ascii="Times New Roman" w:hAnsi="Times New Roman" w:cs="Times New Roman"/>
          <w:sz w:val="14"/>
          <w:szCs w:val="24"/>
        </w:rPr>
      </w:pPr>
    </w:p>
    <w:p w14:paraId="7295A0A4" w14:textId="77777777" w:rsidR="007E019F" w:rsidRPr="00212DDD" w:rsidRDefault="007E019F" w:rsidP="00212DDD">
      <w:pPr>
        <w:jc w:val="both"/>
        <w:rPr>
          <w:rFonts w:ascii="Times New Roman" w:hAnsi="Times New Roman" w:cs="Times New Roman"/>
          <w:sz w:val="24"/>
          <w:szCs w:val="24"/>
        </w:rPr>
      </w:pPr>
      <w:r w:rsidRPr="00212DDD">
        <w:rPr>
          <w:rFonts w:ascii="Times New Roman" w:hAnsi="Times New Roman" w:cs="Times New Roman"/>
          <w:sz w:val="24"/>
          <w:szCs w:val="24"/>
        </w:rPr>
        <w:t>However, contrasting patterns emerge, with several countries registering minimal contributions to renewable energy, including Botswana, Comoros, Gambia, Libya, and South Africa, with percentages ranging from 0.00% to 0.12%. This disparity underscores the varied policy landscapes and implementation challenges across the continent.</w:t>
      </w:r>
    </w:p>
    <w:p w14:paraId="7140ACCF" w14:textId="77777777" w:rsidR="007E019F" w:rsidRPr="00EA52C7" w:rsidRDefault="007E019F" w:rsidP="00212DDD">
      <w:pPr>
        <w:jc w:val="both"/>
        <w:rPr>
          <w:rFonts w:ascii="Times New Roman" w:hAnsi="Times New Roman" w:cs="Times New Roman"/>
          <w:sz w:val="14"/>
          <w:szCs w:val="24"/>
        </w:rPr>
      </w:pPr>
    </w:p>
    <w:p w14:paraId="59327D5B" w14:textId="77777777" w:rsidR="007E019F" w:rsidRPr="00212DDD" w:rsidRDefault="007E019F" w:rsidP="00212DDD">
      <w:pPr>
        <w:jc w:val="both"/>
        <w:rPr>
          <w:rFonts w:ascii="Times New Roman" w:hAnsi="Times New Roman" w:cs="Times New Roman"/>
          <w:sz w:val="24"/>
          <w:szCs w:val="24"/>
        </w:rPr>
      </w:pPr>
      <w:r w:rsidRPr="00212DDD">
        <w:rPr>
          <w:rFonts w:ascii="Times New Roman" w:hAnsi="Times New Roman" w:cs="Times New Roman"/>
          <w:sz w:val="24"/>
          <w:szCs w:val="24"/>
        </w:rPr>
        <w:t>For countries with low percentages, barriers to renewable energy adoption may include limited financial resources, inadequate infrastructure, and dependence on traditional energy sources. In contrast, countries with higher percentages often prioritize renewable energy in national policies, invest in infrastructure, and leverage natural resources for energy production.</w:t>
      </w:r>
    </w:p>
    <w:p w14:paraId="00FFE527" w14:textId="77777777" w:rsidR="007E019F" w:rsidRPr="00EA52C7" w:rsidRDefault="007E019F" w:rsidP="00212DDD">
      <w:pPr>
        <w:jc w:val="both"/>
        <w:rPr>
          <w:rFonts w:ascii="Times New Roman" w:hAnsi="Times New Roman" w:cs="Times New Roman"/>
          <w:sz w:val="16"/>
          <w:szCs w:val="24"/>
        </w:rPr>
      </w:pPr>
    </w:p>
    <w:p w14:paraId="3763F980" w14:textId="77777777" w:rsidR="007E019F" w:rsidRPr="00212DDD" w:rsidRDefault="007E019F" w:rsidP="00212DDD">
      <w:pPr>
        <w:jc w:val="both"/>
        <w:rPr>
          <w:rFonts w:ascii="Times New Roman" w:hAnsi="Times New Roman" w:cs="Times New Roman"/>
          <w:sz w:val="24"/>
          <w:szCs w:val="24"/>
        </w:rPr>
      </w:pPr>
    </w:p>
    <w:p w14:paraId="753C3AAA" w14:textId="77777777" w:rsidR="00801C06" w:rsidRPr="00212DDD" w:rsidRDefault="00801C06" w:rsidP="00212DDD">
      <w:pPr>
        <w:jc w:val="both"/>
        <w:rPr>
          <w:rFonts w:ascii="Times New Roman" w:hAnsi="Times New Roman" w:cs="Times New Roman"/>
          <w:sz w:val="24"/>
          <w:szCs w:val="24"/>
        </w:rPr>
      </w:pPr>
    </w:p>
    <w:p w14:paraId="69F00183" w14:textId="3776E192" w:rsidR="007E019F" w:rsidRPr="00212DDD" w:rsidRDefault="007E019F" w:rsidP="00212DDD">
      <w:pPr>
        <w:jc w:val="both"/>
        <w:rPr>
          <w:rFonts w:ascii="Times New Roman" w:hAnsi="Times New Roman" w:cs="Times New Roman"/>
          <w:b/>
          <w:sz w:val="24"/>
          <w:szCs w:val="24"/>
        </w:rPr>
      </w:pPr>
      <w:r w:rsidRPr="00212DDD">
        <w:rPr>
          <w:rFonts w:ascii="Times New Roman" w:hAnsi="Times New Roman" w:cs="Times New Roman"/>
          <w:noProof/>
          <w:sz w:val="24"/>
          <w:szCs w:val="24"/>
        </w:rPr>
        <w:drawing>
          <wp:inline distT="0" distB="0" distL="0" distR="0" wp14:anchorId="66B875DA" wp14:editId="4D8E27E7">
            <wp:extent cx="5764696" cy="4214191"/>
            <wp:effectExtent l="0" t="0" r="7620" b="0"/>
            <wp:docPr id="7" name="Picture 7" descr="C:\Users\RENET\Downloads\Shee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ENET\Downloads\Sheet 3.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9415" t="17232" r="19542"/>
                    <a:stretch/>
                  </pic:blipFill>
                  <pic:spPr bwMode="auto">
                    <a:xfrm>
                      <a:off x="0" y="0"/>
                      <a:ext cx="5764485" cy="4214037"/>
                    </a:xfrm>
                    <a:prstGeom prst="rect">
                      <a:avLst/>
                    </a:prstGeom>
                    <a:noFill/>
                    <a:ln>
                      <a:noFill/>
                    </a:ln>
                    <a:extLst>
                      <a:ext uri="{53640926-AAD7-44D8-BBD7-CCE9431645EC}">
                        <a14:shadowObscured xmlns:a14="http://schemas.microsoft.com/office/drawing/2010/main"/>
                      </a:ext>
                    </a:extLst>
                  </pic:spPr>
                </pic:pic>
              </a:graphicData>
            </a:graphic>
          </wp:inline>
        </w:drawing>
      </w:r>
    </w:p>
    <w:p w14:paraId="23B0991A" w14:textId="7CCD3C11" w:rsidR="001D4ACF" w:rsidRPr="00212DDD" w:rsidRDefault="007E019F" w:rsidP="00212DDD">
      <w:pPr>
        <w:jc w:val="both"/>
        <w:rPr>
          <w:rFonts w:ascii="Times New Roman" w:hAnsi="Times New Roman" w:cs="Times New Roman"/>
          <w:sz w:val="24"/>
          <w:szCs w:val="24"/>
        </w:rPr>
      </w:pPr>
      <w:r w:rsidRPr="00212DDD">
        <w:rPr>
          <w:rFonts w:ascii="Times New Roman" w:hAnsi="Times New Roman" w:cs="Times New Roman"/>
          <w:sz w:val="24"/>
          <w:szCs w:val="24"/>
        </w:rPr>
        <w:t>Figure 4.1: Percentage Distribution of Renewable Energy Generation in Africa</w:t>
      </w:r>
    </w:p>
    <w:p w14:paraId="356A3625" w14:textId="687CD0EC" w:rsidR="007E019F" w:rsidRPr="00212DDD" w:rsidRDefault="007E019F" w:rsidP="00212DDD">
      <w:pPr>
        <w:jc w:val="both"/>
        <w:rPr>
          <w:rFonts w:ascii="Times New Roman" w:hAnsi="Times New Roman" w:cs="Times New Roman"/>
          <w:b/>
          <w:sz w:val="24"/>
          <w:szCs w:val="24"/>
        </w:rPr>
      </w:pPr>
      <w:r w:rsidRPr="00212DDD">
        <w:rPr>
          <w:rFonts w:ascii="Times New Roman" w:hAnsi="Times New Roman" w:cs="Times New Roman"/>
          <w:sz w:val="24"/>
          <w:szCs w:val="24"/>
        </w:rPr>
        <w:t>Source:</w:t>
      </w:r>
      <w:r w:rsidR="00EA52C7">
        <w:rPr>
          <w:rFonts w:ascii="Times New Roman" w:hAnsi="Times New Roman" w:cs="Times New Roman"/>
          <w:sz w:val="24"/>
          <w:szCs w:val="24"/>
        </w:rPr>
        <w:t xml:space="preserve"> </w:t>
      </w:r>
      <w:r w:rsidRPr="00212DDD">
        <w:rPr>
          <w:rFonts w:ascii="Times New Roman" w:hAnsi="Times New Roman" w:cs="Times New Roman"/>
          <w:sz w:val="24"/>
          <w:szCs w:val="24"/>
        </w:rPr>
        <w:t>Tableau Output and Authors' Computation, 2024.</w:t>
      </w:r>
    </w:p>
    <w:p w14:paraId="52D7A1E2" w14:textId="77777777" w:rsidR="007E019F" w:rsidRPr="00212DDD" w:rsidRDefault="007E019F" w:rsidP="00212DDD">
      <w:pPr>
        <w:jc w:val="both"/>
        <w:rPr>
          <w:rFonts w:ascii="Times New Roman" w:hAnsi="Times New Roman" w:cs="Times New Roman"/>
          <w:sz w:val="24"/>
          <w:szCs w:val="24"/>
        </w:rPr>
      </w:pPr>
    </w:p>
    <w:p w14:paraId="76825671" w14:textId="36B5EDFF" w:rsidR="00801C06" w:rsidRPr="00212DDD" w:rsidRDefault="00BD10F2" w:rsidP="00212DDD">
      <w:pPr>
        <w:jc w:val="both"/>
        <w:rPr>
          <w:rFonts w:ascii="Times New Roman" w:hAnsi="Times New Roman" w:cs="Times New Roman"/>
          <w:b/>
          <w:sz w:val="24"/>
          <w:szCs w:val="24"/>
        </w:rPr>
      </w:pPr>
      <w:r w:rsidRPr="00212DDD">
        <w:rPr>
          <w:rFonts w:ascii="Times New Roman" w:hAnsi="Times New Roman" w:cs="Times New Roman"/>
          <w:b/>
          <w:sz w:val="24"/>
          <w:szCs w:val="24"/>
        </w:rPr>
        <w:t>4.2. Correlation analysis</w:t>
      </w:r>
    </w:p>
    <w:p w14:paraId="013B2C22" w14:textId="77777777" w:rsidR="00801C06" w:rsidRPr="00212DDD" w:rsidRDefault="00801C06" w:rsidP="00212DDD">
      <w:pPr>
        <w:jc w:val="both"/>
        <w:rPr>
          <w:rFonts w:ascii="Times New Roman" w:hAnsi="Times New Roman" w:cs="Times New Roman"/>
          <w:b/>
          <w:sz w:val="24"/>
          <w:szCs w:val="24"/>
        </w:rPr>
      </w:pPr>
    </w:p>
    <w:p w14:paraId="6570DC1D" w14:textId="77777777" w:rsidR="00BD10F2" w:rsidRPr="00212DDD" w:rsidRDefault="00BD10F2" w:rsidP="00212DDD">
      <w:pPr>
        <w:jc w:val="both"/>
        <w:rPr>
          <w:rFonts w:ascii="Times New Roman" w:hAnsi="Times New Roman" w:cs="Times New Roman"/>
          <w:sz w:val="24"/>
          <w:szCs w:val="24"/>
        </w:rPr>
      </w:pPr>
      <w:r w:rsidRPr="00212DDD">
        <w:rPr>
          <w:rFonts w:ascii="Times New Roman" w:hAnsi="Times New Roman" w:cs="Times New Roman"/>
          <w:sz w:val="24"/>
          <w:szCs w:val="24"/>
        </w:rPr>
        <w:t>The correlation analysis presented in Table 4.2 sheds light on the relationships between various variables central to understanding the dynamics of food security, renewable energy, democracy, and governance in Africa. The correlation coefficients range from -1 to 1, indicating the strength and direction of the relationships between pairs of variables.</w:t>
      </w:r>
    </w:p>
    <w:p w14:paraId="35B943B0" w14:textId="77777777" w:rsidR="00BD10F2" w:rsidRPr="00EA52C7" w:rsidRDefault="00BD10F2" w:rsidP="00212DDD">
      <w:pPr>
        <w:jc w:val="both"/>
        <w:rPr>
          <w:rFonts w:ascii="Times New Roman" w:hAnsi="Times New Roman" w:cs="Times New Roman"/>
          <w:sz w:val="8"/>
          <w:szCs w:val="24"/>
        </w:rPr>
      </w:pPr>
    </w:p>
    <w:p w14:paraId="1F669A25" w14:textId="1DB9890B" w:rsidR="00BD10F2" w:rsidRPr="00212DDD" w:rsidRDefault="00BD10F2" w:rsidP="00212DDD">
      <w:pPr>
        <w:jc w:val="both"/>
        <w:rPr>
          <w:rFonts w:ascii="Times New Roman" w:hAnsi="Times New Roman" w:cs="Times New Roman"/>
          <w:sz w:val="24"/>
          <w:szCs w:val="24"/>
        </w:rPr>
      </w:pPr>
      <w:r w:rsidRPr="00212DDD">
        <w:rPr>
          <w:rFonts w:ascii="Times New Roman" w:hAnsi="Times New Roman" w:cs="Times New Roman"/>
          <w:sz w:val="24"/>
          <w:szCs w:val="24"/>
        </w:rPr>
        <w:t xml:space="preserve">Starting with food supply (FSK), correlations with other variables are generally weak, with coefficients close to zero. This suggests that food supply may not be strongly influenced by the variables examined in this analysis, including CPIA, democratic governance (DEM), </w:t>
      </w:r>
      <w:r w:rsidR="00BF660C" w:rsidRPr="00212DDD">
        <w:rPr>
          <w:rFonts w:ascii="Times New Roman" w:hAnsi="Times New Roman" w:cs="Times New Roman"/>
          <w:sz w:val="24"/>
          <w:szCs w:val="24"/>
        </w:rPr>
        <w:t>and ease</w:t>
      </w:r>
      <w:r w:rsidRPr="00212DDD">
        <w:rPr>
          <w:rFonts w:ascii="Times New Roman" w:hAnsi="Times New Roman" w:cs="Times New Roman"/>
          <w:sz w:val="24"/>
          <w:szCs w:val="24"/>
        </w:rPr>
        <w:t xml:space="preserve"> of doing business (EDB), foreign direct investment (FDI), renewables (REN), and temperature change (TMP).</w:t>
      </w:r>
    </w:p>
    <w:p w14:paraId="3E3443CD" w14:textId="77777777" w:rsidR="00BD10F2" w:rsidRPr="00EA52C7" w:rsidRDefault="00BD10F2" w:rsidP="00212DDD">
      <w:pPr>
        <w:jc w:val="both"/>
        <w:rPr>
          <w:rFonts w:ascii="Times New Roman" w:hAnsi="Times New Roman" w:cs="Times New Roman"/>
          <w:sz w:val="14"/>
          <w:szCs w:val="24"/>
        </w:rPr>
      </w:pPr>
    </w:p>
    <w:p w14:paraId="7619D873" w14:textId="77777777" w:rsidR="00BD10F2" w:rsidRPr="00212DDD" w:rsidRDefault="00BD10F2" w:rsidP="00212DDD">
      <w:pPr>
        <w:jc w:val="both"/>
        <w:rPr>
          <w:rFonts w:ascii="Times New Roman" w:hAnsi="Times New Roman" w:cs="Times New Roman"/>
          <w:sz w:val="24"/>
          <w:szCs w:val="24"/>
        </w:rPr>
      </w:pPr>
      <w:r w:rsidRPr="00212DDD">
        <w:rPr>
          <w:rFonts w:ascii="Times New Roman" w:hAnsi="Times New Roman" w:cs="Times New Roman"/>
          <w:sz w:val="24"/>
          <w:szCs w:val="24"/>
        </w:rPr>
        <w:t>The correlation between food supply and CPIA transparency, accountability, and corruption ratings is nearly negligible (-0.005), indicating minimal association between food security and the level of transparency and accountability in the public sector. Similarly, correlations between food supply and other governance indicators such as democratic governance (DEM) and ease of doing business (EDB) are weak, suggesting that these factors may not significantly impact food security outcomes.</w:t>
      </w:r>
    </w:p>
    <w:p w14:paraId="5891B0D5" w14:textId="77777777" w:rsidR="00BD10F2" w:rsidRPr="00EA52C7" w:rsidRDefault="00BD10F2" w:rsidP="00212DDD">
      <w:pPr>
        <w:jc w:val="both"/>
        <w:rPr>
          <w:rFonts w:ascii="Times New Roman" w:hAnsi="Times New Roman" w:cs="Times New Roman"/>
          <w:sz w:val="12"/>
          <w:szCs w:val="24"/>
        </w:rPr>
      </w:pPr>
    </w:p>
    <w:p w14:paraId="6839BB5C" w14:textId="77777777" w:rsidR="00BD10F2" w:rsidRPr="00212DDD" w:rsidRDefault="00BD10F2" w:rsidP="00212DDD">
      <w:pPr>
        <w:jc w:val="both"/>
        <w:rPr>
          <w:rFonts w:ascii="Times New Roman" w:hAnsi="Times New Roman" w:cs="Times New Roman"/>
          <w:sz w:val="24"/>
          <w:szCs w:val="24"/>
        </w:rPr>
      </w:pPr>
      <w:r w:rsidRPr="00212DDD">
        <w:rPr>
          <w:rFonts w:ascii="Times New Roman" w:hAnsi="Times New Roman" w:cs="Times New Roman"/>
          <w:sz w:val="24"/>
          <w:szCs w:val="24"/>
        </w:rPr>
        <w:t>Foreign direct investment (FDI) and renewables (REN) show minimal correlation with food supply, with coefficients close to zero. This implies that the inflow of foreign investment and the adoption of renewable energy sources may not directly translate into improvements in food security across African nations.</w:t>
      </w:r>
    </w:p>
    <w:p w14:paraId="09D5AC6A" w14:textId="77777777" w:rsidR="00BD10F2" w:rsidRPr="00EA52C7" w:rsidRDefault="00BD10F2" w:rsidP="00212DDD">
      <w:pPr>
        <w:jc w:val="both"/>
        <w:rPr>
          <w:rFonts w:ascii="Times New Roman" w:hAnsi="Times New Roman" w:cs="Times New Roman"/>
          <w:sz w:val="8"/>
          <w:szCs w:val="24"/>
        </w:rPr>
      </w:pPr>
    </w:p>
    <w:p w14:paraId="654418E0" w14:textId="77777777" w:rsidR="00BD10F2" w:rsidRPr="00212DDD" w:rsidRDefault="00BD10F2" w:rsidP="00212DDD">
      <w:pPr>
        <w:jc w:val="both"/>
        <w:rPr>
          <w:rFonts w:ascii="Times New Roman" w:hAnsi="Times New Roman" w:cs="Times New Roman"/>
          <w:sz w:val="24"/>
          <w:szCs w:val="24"/>
        </w:rPr>
      </w:pPr>
      <w:r w:rsidRPr="00212DDD">
        <w:rPr>
          <w:rFonts w:ascii="Times New Roman" w:hAnsi="Times New Roman" w:cs="Times New Roman"/>
          <w:sz w:val="24"/>
          <w:szCs w:val="24"/>
        </w:rPr>
        <w:t xml:space="preserve">Temperature change (TMP) exhibits a slight positive correlation (0.094) with food supply, suggesting a weak association between climatic variations and food security outcomes. However, the magnitude of this correlation is relatively </w:t>
      </w:r>
      <w:proofErr w:type="gramStart"/>
      <w:r w:rsidRPr="00212DDD">
        <w:rPr>
          <w:rFonts w:ascii="Times New Roman" w:hAnsi="Times New Roman" w:cs="Times New Roman"/>
          <w:sz w:val="24"/>
          <w:szCs w:val="24"/>
        </w:rPr>
        <w:t>small,</w:t>
      </w:r>
      <w:proofErr w:type="gramEnd"/>
      <w:r w:rsidRPr="00212DDD">
        <w:rPr>
          <w:rFonts w:ascii="Times New Roman" w:hAnsi="Times New Roman" w:cs="Times New Roman"/>
          <w:sz w:val="24"/>
          <w:szCs w:val="24"/>
        </w:rPr>
        <w:t xml:space="preserve"> indicating that temperature changes alone may not be the primary determinant of food supply fluctuations.</w:t>
      </w:r>
    </w:p>
    <w:p w14:paraId="007B3653" w14:textId="77777777" w:rsidR="00BD10F2" w:rsidRPr="00EA52C7" w:rsidRDefault="00BD10F2" w:rsidP="00212DDD">
      <w:pPr>
        <w:jc w:val="both"/>
        <w:rPr>
          <w:rFonts w:ascii="Times New Roman" w:hAnsi="Times New Roman" w:cs="Times New Roman"/>
          <w:sz w:val="12"/>
          <w:szCs w:val="24"/>
        </w:rPr>
      </w:pPr>
    </w:p>
    <w:p w14:paraId="1AEDE47A" w14:textId="11DFC5AD" w:rsidR="00C962D6" w:rsidRPr="00212DDD" w:rsidRDefault="00BD10F2" w:rsidP="00212DDD">
      <w:pPr>
        <w:jc w:val="both"/>
        <w:rPr>
          <w:rFonts w:ascii="Times New Roman" w:hAnsi="Times New Roman" w:cs="Times New Roman"/>
          <w:sz w:val="24"/>
          <w:szCs w:val="24"/>
        </w:rPr>
      </w:pPr>
      <w:r w:rsidRPr="00212DDD">
        <w:rPr>
          <w:rFonts w:ascii="Times New Roman" w:hAnsi="Times New Roman" w:cs="Times New Roman"/>
          <w:sz w:val="24"/>
          <w:szCs w:val="24"/>
        </w:rPr>
        <w:t>Overall, while correlations between variables provide insights into potential relationships, the weak associations observed in this analysis suggest that food security outcomes in Africa are influenced by a multitude of complex factors beyond those examined in this study. Further research incorporating additional variables and employing advanced statistical techniques may offer deeper insights into the nuanced dynamics of food security and its interplay with renewable energy, democracy, and governance in the African context.</w:t>
      </w:r>
    </w:p>
    <w:p w14:paraId="7C783250" w14:textId="77777777" w:rsidR="00BD10F2" w:rsidRPr="00212DDD" w:rsidRDefault="00BD10F2" w:rsidP="00212DDD">
      <w:pPr>
        <w:jc w:val="both"/>
        <w:rPr>
          <w:rFonts w:ascii="Times New Roman" w:hAnsi="Times New Roman" w:cs="Times New Roman"/>
          <w:b/>
          <w:sz w:val="24"/>
          <w:szCs w:val="24"/>
        </w:rPr>
      </w:pPr>
    </w:p>
    <w:p w14:paraId="78F4A9A6" w14:textId="6BA41275" w:rsidR="00CD4C0A" w:rsidRPr="00EA52C7" w:rsidRDefault="00BD10F2" w:rsidP="00212DDD">
      <w:pPr>
        <w:autoSpaceDE w:val="0"/>
        <w:autoSpaceDN w:val="0"/>
        <w:adjustRightInd w:val="0"/>
        <w:spacing w:line="240" w:lineRule="auto"/>
        <w:jc w:val="both"/>
        <w:rPr>
          <w:rFonts w:ascii="Times New Roman" w:hAnsi="Times New Roman" w:cs="Times New Roman"/>
          <w:b/>
          <w:sz w:val="24"/>
          <w:szCs w:val="24"/>
        </w:rPr>
      </w:pPr>
      <w:r w:rsidRPr="00EA52C7">
        <w:rPr>
          <w:rFonts w:ascii="Times New Roman" w:hAnsi="Times New Roman" w:cs="Times New Roman"/>
          <w:b/>
          <w:sz w:val="24"/>
          <w:szCs w:val="24"/>
        </w:rPr>
        <w:t>Table 4.2 Correlation analysis</w:t>
      </w:r>
    </w:p>
    <w:tbl>
      <w:tblPr>
        <w:tblW w:w="8322" w:type="dxa"/>
        <w:tblInd w:w="30" w:type="dxa"/>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939"/>
        <w:gridCol w:w="1066"/>
        <w:gridCol w:w="1135"/>
        <w:gridCol w:w="1066"/>
        <w:gridCol w:w="1066"/>
        <w:gridCol w:w="1066"/>
        <w:gridCol w:w="1066"/>
        <w:gridCol w:w="918"/>
      </w:tblGrid>
      <w:tr w:rsidR="00212DDD" w:rsidRPr="00EA52C7" w14:paraId="76DBD3C5" w14:textId="77777777" w:rsidTr="00EA52C7">
        <w:trPr>
          <w:trHeight w:val="230"/>
        </w:trPr>
        <w:tc>
          <w:tcPr>
            <w:tcW w:w="0" w:type="auto"/>
            <w:tcBorders>
              <w:top w:val="single" w:sz="4" w:space="0" w:color="auto"/>
              <w:bottom w:val="single" w:sz="4" w:space="0" w:color="auto"/>
            </w:tcBorders>
            <w:vAlign w:val="bottom"/>
          </w:tcPr>
          <w:p w14:paraId="5D1D45A8" w14:textId="77777777" w:rsidR="00433737" w:rsidRPr="00EA52C7" w:rsidRDefault="00433737" w:rsidP="00212DDD">
            <w:pPr>
              <w:autoSpaceDE w:val="0"/>
              <w:autoSpaceDN w:val="0"/>
              <w:adjustRightInd w:val="0"/>
              <w:spacing w:line="240" w:lineRule="auto"/>
              <w:jc w:val="both"/>
              <w:rPr>
                <w:rFonts w:ascii="Times New Roman" w:hAnsi="Times New Roman" w:cs="Times New Roman"/>
                <w:b/>
                <w:color w:val="000000"/>
                <w:sz w:val="24"/>
                <w:szCs w:val="24"/>
              </w:rPr>
            </w:pPr>
          </w:p>
        </w:tc>
        <w:tc>
          <w:tcPr>
            <w:tcW w:w="0" w:type="auto"/>
            <w:tcBorders>
              <w:top w:val="single" w:sz="4" w:space="0" w:color="auto"/>
              <w:bottom w:val="single" w:sz="4" w:space="0" w:color="auto"/>
            </w:tcBorders>
            <w:vAlign w:val="bottom"/>
          </w:tcPr>
          <w:p w14:paraId="47061DB7" w14:textId="77777777" w:rsidR="00433737" w:rsidRPr="00EA52C7" w:rsidRDefault="00433737" w:rsidP="00212DDD">
            <w:pPr>
              <w:autoSpaceDE w:val="0"/>
              <w:autoSpaceDN w:val="0"/>
              <w:adjustRightInd w:val="0"/>
              <w:spacing w:line="240" w:lineRule="auto"/>
              <w:jc w:val="both"/>
              <w:rPr>
                <w:rFonts w:ascii="Times New Roman" w:hAnsi="Times New Roman" w:cs="Times New Roman"/>
                <w:b/>
                <w:color w:val="000000"/>
                <w:sz w:val="24"/>
                <w:szCs w:val="24"/>
              </w:rPr>
            </w:pPr>
            <w:r w:rsidRPr="00EA52C7">
              <w:rPr>
                <w:rFonts w:ascii="Times New Roman" w:hAnsi="Times New Roman" w:cs="Times New Roman"/>
                <w:b/>
                <w:color w:val="000000"/>
                <w:sz w:val="24"/>
                <w:szCs w:val="24"/>
              </w:rPr>
              <w:t>FSK</w:t>
            </w:r>
          </w:p>
        </w:tc>
        <w:tc>
          <w:tcPr>
            <w:tcW w:w="0" w:type="auto"/>
            <w:tcBorders>
              <w:top w:val="single" w:sz="4" w:space="0" w:color="auto"/>
              <w:bottom w:val="single" w:sz="4" w:space="0" w:color="auto"/>
            </w:tcBorders>
            <w:vAlign w:val="bottom"/>
          </w:tcPr>
          <w:p w14:paraId="50AECD98" w14:textId="77777777" w:rsidR="00433737" w:rsidRPr="00EA52C7" w:rsidRDefault="00433737" w:rsidP="00212DDD">
            <w:pPr>
              <w:autoSpaceDE w:val="0"/>
              <w:autoSpaceDN w:val="0"/>
              <w:adjustRightInd w:val="0"/>
              <w:spacing w:line="240" w:lineRule="auto"/>
              <w:jc w:val="both"/>
              <w:rPr>
                <w:rFonts w:ascii="Times New Roman" w:hAnsi="Times New Roman" w:cs="Times New Roman"/>
                <w:b/>
                <w:color w:val="000000"/>
                <w:sz w:val="24"/>
                <w:szCs w:val="24"/>
              </w:rPr>
            </w:pPr>
            <w:r w:rsidRPr="00EA52C7">
              <w:rPr>
                <w:rFonts w:ascii="Times New Roman" w:hAnsi="Times New Roman" w:cs="Times New Roman"/>
                <w:b/>
                <w:color w:val="000000"/>
                <w:sz w:val="24"/>
                <w:szCs w:val="24"/>
              </w:rPr>
              <w:t>CPIA</w:t>
            </w:r>
          </w:p>
        </w:tc>
        <w:tc>
          <w:tcPr>
            <w:tcW w:w="0" w:type="auto"/>
            <w:tcBorders>
              <w:top w:val="single" w:sz="4" w:space="0" w:color="auto"/>
              <w:bottom w:val="single" w:sz="4" w:space="0" w:color="auto"/>
            </w:tcBorders>
            <w:vAlign w:val="bottom"/>
          </w:tcPr>
          <w:p w14:paraId="5D12316F" w14:textId="77777777" w:rsidR="00433737" w:rsidRPr="00EA52C7" w:rsidRDefault="00433737" w:rsidP="00212DDD">
            <w:pPr>
              <w:autoSpaceDE w:val="0"/>
              <w:autoSpaceDN w:val="0"/>
              <w:adjustRightInd w:val="0"/>
              <w:spacing w:line="240" w:lineRule="auto"/>
              <w:jc w:val="both"/>
              <w:rPr>
                <w:rFonts w:ascii="Times New Roman" w:hAnsi="Times New Roman" w:cs="Times New Roman"/>
                <w:b/>
                <w:color w:val="000000"/>
                <w:sz w:val="24"/>
                <w:szCs w:val="24"/>
              </w:rPr>
            </w:pPr>
            <w:r w:rsidRPr="00EA52C7">
              <w:rPr>
                <w:rFonts w:ascii="Times New Roman" w:hAnsi="Times New Roman" w:cs="Times New Roman"/>
                <w:b/>
                <w:color w:val="000000"/>
                <w:sz w:val="24"/>
                <w:szCs w:val="24"/>
              </w:rPr>
              <w:t>DEM</w:t>
            </w:r>
          </w:p>
        </w:tc>
        <w:tc>
          <w:tcPr>
            <w:tcW w:w="0" w:type="auto"/>
            <w:tcBorders>
              <w:top w:val="single" w:sz="4" w:space="0" w:color="auto"/>
              <w:bottom w:val="single" w:sz="4" w:space="0" w:color="auto"/>
            </w:tcBorders>
            <w:vAlign w:val="bottom"/>
          </w:tcPr>
          <w:p w14:paraId="1DFF5AC6" w14:textId="77777777" w:rsidR="00433737" w:rsidRPr="00EA52C7" w:rsidRDefault="00433737" w:rsidP="00212DDD">
            <w:pPr>
              <w:autoSpaceDE w:val="0"/>
              <w:autoSpaceDN w:val="0"/>
              <w:adjustRightInd w:val="0"/>
              <w:spacing w:line="240" w:lineRule="auto"/>
              <w:jc w:val="both"/>
              <w:rPr>
                <w:rFonts w:ascii="Times New Roman" w:hAnsi="Times New Roman" w:cs="Times New Roman"/>
                <w:b/>
                <w:color w:val="000000"/>
                <w:sz w:val="24"/>
                <w:szCs w:val="24"/>
              </w:rPr>
            </w:pPr>
            <w:r w:rsidRPr="00EA52C7">
              <w:rPr>
                <w:rFonts w:ascii="Times New Roman" w:hAnsi="Times New Roman" w:cs="Times New Roman"/>
                <w:b/>
                <w:color w:val="000000"/>
                <w:sz w:val="24"/>
                <w:szCs w:val="24"/>
              </w:rPr>
              <w:t>EDB</w:t>
            </w:r>
          </w:p>
        </w:tc>
        <w:tc>
          <w:tcPr>
            <w:tcW w:w="0" w:type="auto"/>
            <w:tcBorders>
              <w:top w:val="single" w:sz="4" w:space="0" w:color="auto"/>
              <w:bottom w:val="single" w:sz="4" w:space="0" w:color="auto"/>
            </w:tcBorders>
            <w:vAlign w:val="bottom"/>
          </w:tcPr>
          <w:p w14:paraId="684A2389" w14:textId="77777777" w:rsidR="00433737" w:rsidRPr="00EA52C7" w:rsidRDefault="00433737" w:rsidP="00212DDD">
            <w:pPr>
              <w:autoSpaceDE w:val="0"/>
              <w:autoSpaceDN w:val="0"/>
              <w:adjustRightInd w:val="0"/>
              <w:spacing w:line="240" w:lineRule="auto"/>
              <w:jc w:val="both"/>
              <w:rPr>
                <w:rFonts w:ascii="Times New Roman" w:hAnsi="Times New Roman" w:cs="Times New Roman"/>
                <w:b/>
                <w:color w:val="000000"/>
                <w:sz w:val="24"/>
                <w:szCs w:val="24"/>
              </w:rPr>
            </w:pPr>
            <w:r w:rsidRPr="00EA52C7">
              <w:rPr>
                <w:rFonts w:ascii="Times New Roman" w:hAnsi="Times New Roman" w:cs="Times New Roman"/>
                <w:b/>
                <w:color w:val="000000"/>
                <w:sz w:val="24"/>
                <w:szCs w:val="24"/>
              </w:rPr>
              <w:t>FDI</w:t>
            </w:r>
          </w:p>
        </w:tc>
        <w:tc>
          <w:tcPr>
            <w:tcW w:w="0" w:type="auto"/>
            <w:tcBorders>
              <w:top w:val="single" w:sz="4" w:space="0" w:color="auto"/>
              <w:bottom w:val="single" w:sz="4" w:space="0" w:color="auto"/>
            </w:tcBorders>
            <w:vAlign w:val="bottom"/>
          </w:tcPr>
          <w:p w14:paraId="29FE1912" w14:textId="4FAAA5E7" w:rsidR="00433737" w:rsidRPr="00EA52C7" w:rsidRDefault="00433737" w:rsidP="00212DDD">
            <w:pPr>
              <w:autoSpaceDE w:val="0"/>
              <w:autoSpaceDN w:val="0"/>
              <w:adjustRightInd w:val="0"/>
              <w:spacing w:line="240" w:lineRule="auto"/>
              <w:jc w:val="both"/>
              <w:rPr>
                <w:rFonts w:ascii="Times New Roman" w:hAnsi="Times New Roman" w:cs="Times New Roman"/>
                <w:b/>
                <w:color w:val="000000"/>
                <w:sz w:val="24"/>
                <w:szCs w:val="24"/>
              </w:rPr>
            </w:pPr>
            <w:r w:rsidRPr="00EA52C7">
              <w:rPr>
                <w:rFonts w:ascii="Times New Roman" w:hAnsi="Times New Roman" w:cs="Times New Roman"/>
                <w:b/>
                <w:color w:val="000000"/>
                <w:sz w:val="24"/>
                <w:szCs w:val="24"/>
              </w:rPr>
              <w:t>REN</w:t>
            </w:r>
          </w:p>
        </w:tc>
        <w:tc>
          <w:tcPr>
            <w:tcW w:w="0" w:type="auto"/>
            <w:tcBorders>
              <w:top w:val="single" w:sz="4" w:space="0" w:color="auto"/>
              <w:bottom w:val="single" w:sz="4" w:space="0" w:color="auto"/>
            </w:tcBorders>
            <w:vAlign w:val="bottom"/>
          </w:tcPr>
          <w:p w14:paraId="1414A3C7" w14:textId="3E5D3EFF" w:rsidR="00433737" w:rsidRPr="00EA52C7" w:rsidRDefault="001D4ACF" w:rsidP="00212DDD">
            <w:pPr>
              <w:autoSpaceDE w:val="0"/>
              <w:autoSpaceDN w:val="0"/>
              <w:adjustRightInd w:val="0"/>
              <w:spacing w:line="240" w:lineRule="auto"/>
              <w:jc w:val="both"/>
              <w:rPr>
                <w:rFonts w:ascii="Times New Roman" w:hAnsi="Times New Roman" w:cs="Times New Roman"/>
                <w:b/>
                <w:color w:val="000000"/>
                <w:sz w:val="24"/>
                <w:szCs w:val="24"/>
              </w:rPr>
            </w:pPr>
            <w:r w:rsidRPr="00EA52C7">
              <w:rPr>
                <w:rFonts w:ascii="Times New Roman" w:hAnsi="Times New Roman" w:cs="Times New Roman"/>
                <w:b/>
                <w:color w:val="000000"/>
                <w:sz w:val="24"/>
                <w:szCs w:val="24"/>
              </w:rPr>
              <w:t>TMP</w:t>
            </w:r>
          </w:p>
        </w:tc>
      </w:tr>
      <w:tr w:rsidR="00212DDD" w:rsidRPr="00212DDD" w14:paraId="256E136B" w14:textId="77777777" w:rsidTr="00EA52C7">
        <w:trPr>
          <w:trHeight w:val="230"/>
        </w:trPr>
        <w:tc>
          <w:tcPr>
            <w:tcW w:w="0" w:type="auto"/>
            <w:tcBorders>
              <w:top w:val="single" w:sz="4" w:space="0" w:color="auto"/>
            </w:tcBorders>
            <w:vAlign w:val="bottom"/>
          </w:tcPr>
          <w:p w14:paraId="6A581B88" w14:textId="77777777"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FSK</w:t>
            </w:r>
          </w:p>
        </w:tc>
        <w:tc>
          <w:tcPr>
            <w:tcW w:w="0" w:type="auto"/>
            <w:tcBorders>
              <w:top w:val="single" w:sz="4" w:space="0" w:color="auto"/>
            </w:tcBorders>
            <w:vAlign w:val="bottom"/>
          </w:tcPr>
          <w:p w14:paraId="5125310F" w14:textId="77777777"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1</w:t>
            </w:r>
          </w:p>
        </w:tc>
        <w:tc>
          <w:tcPr>
            <w:tcW w:w="0" w:type="auto"/>
            <w:tcBorders>
              <w:top w:val="single" w:sz="4" w:space="0" w:color="auto"/>
            </w:tcBorders>
            <w:vAlign w:val="bottom"/>
          </w:tcPr>
          <w:p w14:paraId="1AD7E192" w14:textId="737A3F12"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p>
        </w:tc>
        <w:tc>
          <w:tcPr>
            <w:tcW w:w="0" w:type="auto"/>
            <w:tcBorders>
              <w:top w:val="single" w:sz="4" w:space="0" w:color="auto"/>
            </w:tcBorders>
            <w:vAlign w:val="bottom"/>
          </w:tcPr>
          <w:p w14:paraId="66F55EB3" w14:textId="5797BEA9"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p>
        </w:tc>
        <w:tc>
          <w:tcPr>
            <w:tcW w:w="0" w:type="auto"/>
            <w:tcBorders>
              <w:top w:val="single" w:sz="4" w:space="0" w:color="auto"/>
            </w:tcBorders>
            <w:vAlign w:val="bottom"/>
          </w:tcPr>
          <w:p w14:paraId="6E3EEFDC" w14:textId="37C69039"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p>
        </w:tc>
        <w:tc>
          <w:tcPr>
            <w:tcW w:w="0" w:type="auto"/>
            <w:tcBorders>
              <w:top w:val="single" w:sz="4" w:space="0" w:color="auto"/>
            </w:tcBorders>
            <w:vAlign w:val="bottom"/>
          </w:tcPr>
          <w:p w14:paraId="7F84CE45" w14:textId="6649C990"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p>
        </w:tc>
        <w:tc>
          <w:tcPr>
            <w:tcW w:w="0" w:type="auto"/>
            <w:tcBorders>
              <w:top w:val="single" w:sz="4" w:space="0" w:color="auto"/>
            </w:tcBorders>
            <w:vAlign w:val="bottom"/>
          </w:tcPr>
          <w:p w14:paraId="437EE85A" w14:textId="0D49E102"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p>
        </w:tc>
        <w:tc>
          <w:tcPr>
            <w:tcW w:w="0" w:type="auto"/>
            <w:tcBorders>
              <w:top w:val="single" w:sz="4" w:space="0" w:color="auto"/>
            </w:tcBorders>
            <w:vAlign w:val="bottom"/>
          </w:tcPr>
          <w:p w14:paraId="76A4A580" w14:textId="1064FCFB"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p>
        </w:tc>
      </w:tr>
      <w:tr w:rsidR="00212DDD" w:rsidRPr="00212DDD" w14:paraId="4B60A65F" w14:textId="77777777" w:rsidTr="00EA52C7">
        <w:trPr>
          <w:trHeight w:val="230"/>
        </w:trPr>
        <w:tc>
          <w:tcPr>
            <w:tcW w:w="0" w:type="auto"/>
            <w:vAlign w:val="bottom"/>
          </w:tcPr>
          <w:p w14:paraId="0AEBA35A" w14:textId="77777777"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CPIA</w:t>
            </w:r>
          </w:p>
        </w:tc>
        <w:tc>
          <w:tcPr>
            <w:tcW w:w="0" w:type="auto"/>
            <w:vAlign w:val="bottom"/>
          </w:tcPr>
          <w:p w14:paraId="0CE65F02" w14:textId="403D8800"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-0.005</w:t>
            </w:r>
          </w:p>
        </w:tc>
        <w:tc>
          <w:tcPr>
            <w:tcW w:w="0" w:type="auto"/>
            <w:vAlign w:val="bottom"/>
          </w:tcPr>
          <w:p w14:paraId="7CD782C0" w14:textId="77777777"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1</w:t>
            </w:r>
          </w:p>
        </w:tc>
        <w:tc>
          <w:tcPr>
            <w:tcW w:w="0" w:type="auto"/>
            <w:vAlign w:val="bottom"/>
          </w:tcPr>
          <w:p w14:paraId="72BFF456" w14:textId="4102BEC5"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p>
        </w:tc>
        <w:tc>
          <w:tcPr>
            <w:tcW w:w="0" w:type="auto"/>
            <w:vAlign w:val="bottom"/>
          </w:tcPr>
          <w:p w14:paraId="490D795C" w14:textId="4E7A32FC"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p>
        </w:tc>
        <w:tc>
          <w:tcPr>
            <w:tcW w:w="0" w:type="auto"/>
            <w:vAlign w:val="bottom"/>
          </w:tcPr>
          <w:p w14:paraId="24F58A7A" w14:textId="23249BD0"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p>
        </w:tc>
        <w:tc>
          <w:tcPr>
            <w:tcW w:w="0" w:type="auto"/>
            <w:vAlign w:val="bottom"/>
          </w:tcPr>
          <w:p w14:paraId="52737499" w14:textId="2DD36DB6"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p>
        </w:tc>
        <w:tc>
          <w:tcPr>
            <w:tcW w:w="0" w:type="auto"/>
            <w:vAlign w:val="bottom"/>
          </w:tcPr>
          <w:p w14:paraId="324CE7AD" w14:textId="33D28209"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p>
        </w:tc>
      </w:tr>
      <w:tr w:rsidR="00212DDD" w:rsidRPr="00212DDD" w14:paraId="412CBC19" w14:textId="77777777" w:rsidTr="00EA52C7">
        <w:trPr>
          <w:trHeight w:val="230"/>
        </w:trPr>
        <w:tc>
          <w:tcPr>
            <w:tcW w:w="0" w:type="auto"/>
            <w:vAlign w:val="bottom"/>
          </w:tcPr>
          <w:p w14:paraId="55DB7223" w14:textId="77777777"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DEM</w:t>
            </w:r>
          </w:p>
        </w:tc>
        <w:tc>
          <w:tcPr>
            <w:tcW w:w="0" w:type="auto"/>
            <w:vAlign w:val="bottom"/>
          </w:tcPr>
          <w:p w14:paraId="5EB68A92" w14:textId="3E1C9BDF"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0.219</w:t>
            </w:r>
          </w:p>
        </w:tc>
        <w:tc>
          <w:tcPr>
            <w:tcW w:w="0" w:type="auto"/>
            <w:vAlign w:val="bottom"/>
          </w:tcPr>
          <w:p w14:paraId="1BEEE56C" w14:textId="524EA357"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0.207</w:t>
            </w:r>
          </w:p>
        </w:tc>
        <w:tc>
          <w:tcPr>
            <w:tcW w:w="0" w:type="auto"/>
            <w:vAlign w:val="bottom"/>
          </w:tcPr>
          <w:p w14:paraId="36E426AB" w14:textId="77777777"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1</w:t>
            </w:r>
          </w:p>
        </w:tc>
        <w:tc>
          <w:tcPr>
            <w:tcW w:w="0" w:type="auto"/>
            <w:vAlign w:val="bottom"/>
          </w:tcPr>
          <w:p w14:paraId="69AC3E11" w14:textId="3D712C17"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p>
        </w:tc>
        <w:tc>
          <w:tcPr>
            <w:tcW w:w="0" w:type="auto"/>
            <w:vAlign w:val="bottom"/>
          </w:tcPr>
          <w:p w14:paraId="0FD60B1D" w14:textId="46517137"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p>
        </w:tc>
        <w:tc>
          <w:tcPr>
            <w:tcW w:w="0" w:type="auto"/>
            <w:vAlign w:val="bottom"/>
          </w:tcPr>
          <w:p w14:paraId="232B78A4" w14:textId="16729F2E"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p>
        </w:tc>
        <w:tc>
          <w:tcPr>
            <w:tcW w:w="0" w:type="auto"/>
            <w:vAlign w:val="bottom"/>
          </w:tcPr>
          <w:p w14:paraId="55BFFBD3" w14:textId="215D6183"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p>
        </w:tc>
      </w:tr>
      <w:tr w:rsidR="00212DDD" w:rsidRPr="00212DDD" w14:paraId="0A2F9E19" w14:textId="77777777" w:rsidTr="00EA52C7">
        <w:trPr>
          <w:trHeight w:val="230"/>
        </w:trPr>
        <w:tc>
          <w:tcPr>
            <w:tcW w:w="0" w:type="auto"/>
            <w:vAlign w:val="bottom"/>
          </w:tcPr>
          <w:p w14:paraId="6C38DAE1" w14:textId="77777777"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EDB</w:t>
            </w:r>
          </w:p>
        </w:tc>
        <w:tc>
          <w:tcPr>
            <w:tcW w:w="0" w:type="auto"/>
            <w:vAlign w:val="bottom"/>
          </w:tcPr>
          <w:p w14:paraId="5C31D4BC" w14:textId="1C8E68D3"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0.189</w:t>
            </w:r>
          </w:p>
        </w:tc>
        <w:tc>
          <w:tcPr>
            <w:tcW w:w="0" w:type="auto"/>
            <w:vAlign w:val="bottom"/>
          </w:tcPr>
          <w:p w14:paraId="7EBB18D1" w14:textId="68FE028F"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0.116</w:t>
            </w:r>
          </w:p>
        </w:tc>
        <w:tc>
          <w:tcPr>
            <w:tcW w:w="0" w:type="auto"/>
            <w:vAlign w:val="bottom"/>
          </w:tcPr>
          <w:p w14:paraId="6AB41909" w14:textId="0F5E0210"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0.119</w:t>
            </w:r>
          </w:p>
        </w:tc>
        <w:tc>
          <w:tcPr>
            <w:tcW w:w="0" w:type="auto"/>
            <w:vAlign w:val="bottom"/>
          </w:tcPr>
          <w:p w14:paraId="1A316BED" w14:textId="77777777"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1</w:t>
            </w:r>
          </w:p>
        </w:tc>
        <w:tc>
          <w:tcPr>
            <w:tcW w:w="0" w:type="auto"/>
            <w:vAlign w:val="bottom"/>
          </w:tcPr>
          <w:p w14:paraId="75062E06" w14:textId="5F27675E"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p>
        </w:tc>
        <w:tc>
          <w:tcPr>
            <w:tcW w:w="0" w:type="auto"/>
            <w:vAlign w:val="bottom"/>
          </w:tcPr>
          <w:p w14:paraId="410B4525" w14:textId="77359F26"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p>
        </w:tc>
        <w:tc>
          <w:tcPr>
            <w:tcW w:w="0" w:type="auto"/>
            <w:vAlign w:val="bottom"/>
          </w:tcPr>
          <w:p w14:paraId="686873CE" w14:textId="39B5316B"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p>
        </w:tc>
      </w:tr>
      <w:tr w:rsidR="00212DDD" w:rsidRPr="00212DDD" w14:paraId="4579E828" w14:textId="77777777" w:rsidTr="00EA52C7">
        <w:trPr>
          <w:trHeight w:val="230"/>
        </w:trPr>
        <w:tc>
          <w:tcPr>
            <w:tcW w:w="0" w:type="auto"/>
            <w:vAlign w:val="bottom"/>
          </w:tcPr>
          <w:p w14:paraId="5FD0ED03" w14:textId="77777777"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FDI</w:t>
            </w:r>
          </w:p>
        </w:tc>
        <w:tc>
          <w:tcPr>
            <w:tcW w:w="0" w:type="auto"/>
            <w:vAlign w:val="bottom"/>
          </w:tcPr>
          <w:p w14:paraId="6D217450" w14:textId="16DD0B08"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-0.008</w:t>
            </w:r>
          </w:p>
        </w:tc>
        <w:tc>
          <w:tcPr>
            <w:tcW w:w="0" w:type="auto"/>
            <w:vAlign w:val="bottom"/>
          </w:tcPr>
          <w:p w14:paraId="3778144E" w14:textId="27622CF1"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0.118</w:t>
            </w:r>
          </w:p>
        </w:tc>
        <w:tc>
          <w:tcPr>
            <w:tcW w:w="0" w:type="auto"/>
            <w:vAlign w:val="bottom"/>
          </w:tcPr>
          <w:p w14:paraId="14AFB5C0" w14:textId="45ED22E3"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0.075</w:t>
            </w:r>
          </w:p>
        </w:tc>
        <w:tc>
          <w:tcPr>
            <w:tcW w:w="0" w:type="auto"/>
            <w:vAlign w:val="bottom"/>
          </w:tcPr>
          <w:p w14:paraId="33DC502E" w14:textId="79D5889C"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-0.040</w:t>
            </w:r>
          </w:p>
        </w:tc>
        <w:tc>
          <w:tcPr>
            <w:tcW w:w="0" w:type="auto"/>
            <w:vAlign w:val="bottom"/>
          </w:tcPr>
          <w:p w14:paraId="25FCCEDA" w14:textId="77777777"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1</w:t>
            </w:r>
          </w:p>
        </w:tc>
        <w:tc>
          <w:tcPr>
            <w:tcW w:w="0" w:type="auto"/>
            <w:vAlign w:val="bottom"/>
          </w:tcPr>
          <w:p w14:paraId="631D7A24" w14:textId="1DA37D37"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p>
        </w:tc>
        <w:tc>
          <w:tcPr>
            <w:tcW w:w="0" w:type="auto"/>
            <w:vAlign w:val="bottom"/>
          </w:tcPr>
          <w:p w14:paraId="7CE3AD3D" w14:textId="05B57704"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p>
        </w:tc>
      </w:tr>
      <w:tr w:rsidR="00212DDD" w:rsidRPr="00212DDD" w14:paraId="6BE48B84" w14:textId="77777777" w:rsidTr="00EA52C7">
        <w:trPr>
          <w:trHeight w:val="230"/>
        </w:trPr>
        <w:tc>
          <w:tcPr>
            <w:tcW w:w="0" w:type="auto"/>
            <w:vAlign w:val="bottom"/>
          </w:tcPr>
          <w:p w14:paraId="07D1C3E2" w14:textId="0820BE44"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REN</w:t>
            </w:r>
          </w:p>
        </w:tc>
        <w:tc>
          <w:tcPr>
            <w:tcW w:w="0" w:type="auto"/>
            <w:vAlign w:val="bottom"/>
          </w:tcPr>
          <w:p w14:paraId="1554612A" w14:textId="479A10DC"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-0.014</w:t>
            </w:r>
          </w:p>
        </w:tc>
        <w:tc>
          <w:tcPr>
            <w:tcW w:w="0" w:type="auto"/>
            <w:vAlign w:val="bottom"/>
          </w:tcPr>
          <w:p w14:paraId="6120343D" w14:textId="66D982F6"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0.1027</w:t>
            </w:r>
          </w:p>
        </w:tc>
        <w:tc>
          <w:tcPr>
            <w:tcW w:w="0" w:type="auto"/>
            <w:vAlign w:val="bottom"/>
          </w:tcPr>
          <w:p w14:paraId="2B80F9E7" w14:textId="7591C94D"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-0.160</w:t>
            </w:r>
          </w:p>
        </w:tc>
        <w:tc>
          <w:tcPr>
            <w:tcW w:w="0" w:type="auto"/>
            <w:vAlign w:val="bottom"/>
          </w:tcPr>
          <w:p w14:paraId="0DFFE26C" w14:textId="01523BD7"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-0.001</w:t>
            </w:r>
          </w:p>
        </w:tc>
        <w:tc>
          <w:tcPr>
            <w:tcW w:w="0" w:type="auto"/>
            <w:vAlign w:val="bottom"/>
          </w:tcPr>
          <w:p w14:paraId="2C9DF1FF" w14:textId="5C765A07"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-0.036</w:t>
            </w:r>
          </w:p>
        </w:tc>
        <w:tc>
          <w:tcPr>
            <w:tcW w:w="0" w:type="auto"/>
            <w:vAlign w:val="bottom"/>
          </w:tcPr>
          <w:p w14:paraId="01E72F69" w14:textId="77777777"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1</w:t>
            </w:r>
          </w:p>
        </w:tc>
        <w:tc>
          <w:tcPr>
            <w:tcW w:w="0" w:type="auto"/>
            <w:vAlign w:val="bottom"/>
          </w:tcPr>
          <w:p w14:paraId="1D128E29" w14:textId="240779A1"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p>
        </w:tc>
      </w:tr>
      <w:tr w:rsidR="00212DDD" w:rsidRPr="00212DDD" w14:paraId="751D3223" w14:textId="77777777" w:rsidTr="00EA52C7">
        <w:trPr>
          <w:trHeight w:val="230"/>
        </w:trPr>
        <w:tc>
          <w:tcPr>
            <w:tcW w:w="0" w:type="auto"/>
            <w:vAlign w:val="bottom"/>
          </w:tcPr>
          <w:p w14:paraId="39C948E1" w14:textId="6B2FEF59"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TMP</w:t>
            </w:r>
          </w:p>
        </w:tc>
        <w:tc>
          <w:tcPr>
            <w:tcW w:w="0" w:type="auto"/>
            <w:vAlign w:val="bottom"/>
          </w:tcPr>
          <w:p w14:paraId="79FDB83A" w14:textId="44A3D093"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0.094</w:t>
            </w:r>
          </w:p>
        </w:tc>
        <w:tc>
          <w:tcPr>
            <w:tcW w:w="0" w:type="auto"/>
            <w:vAlign w:val="bottom"/>
          </w:tcPr>
          <w:p w14:paraId="159176C5" w14:textId="1DA657A1"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0.068</w:t>
            </w:r>
          </w:p>
        </w:tc>
        <w:tc>
          <w:tcPr>
            <w:tcW w:w="0" w:type="auto"/>
            <w:vAlign w:val="bottom"/>
          </w:tcPr>
          <w:p w14:paraId="0886140C" w14:textId="6EE0ADD9"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0.045</w:t>
            </w:r>
          </w:p>
        </w:tc>
        <w:tc>
          <w:tcPr>
            <w:tcW w:w="0" w:type="auto"/>
            <w:vAlign w:val="bottom"/>
          </w:tcPr>
          <w:p w14:paraId="1ABBD7D8" w14:textId="005F0D9C"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0.044</w:t>
            </w:r>
          </w:p>
        </w:tc>
        <w:tc>
          <w:tcPr>
            <w:tcW w:w="0" w:type="auto"/>
            <w:vAlign w:val="bottom"/>
          </w:tcPr>
          <w:p w14:paraId="335437E3" w14:textId="4BCB25F6"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-0.052</w:t>
            </w:r>
          </w:p>
        </w:tc>
        <w:tc>
          <w:tcPr>
            <w:tcW w:w="0" w:type="auto"/>
            <w:vAlign w:val="bottom"/>
          </w:tcPr>
          <w:p w14:paraId="6ED0E4EA" w14:textId="564F4CD2"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-0.064</w:t>
            </w:r>
          </w:p>
        </w:tc>
        <w:tc>
          <w:tcPr>
            <w:tcW w:w="0" w:type="auto"/>
            <w:vAlign w:val="bottom"/>
          </w:tcPr>
          <w:p w14:paraId="5EEAE9EE" w14:textId="77777777" w:rsidR="00433737" w:rsidRPr="00212DDD" w:rsidRDefault="00433737"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1</w:t>
            </w:r>
          </w:p>
        </w:tc>
      </w:tr>
    </w:tbl>
    <w:p w14:paraId="7E5FCF04" w14:textId="77777777" w:rsidR="00824485" w:rsidRPr="00212DDD" w:rsidRDefault="00824485" w:rsidP="00212DDD">
      <w:pPr>
        <w:jc w:val="both"/>
        <w:rPr>
          <w:rFonts w:ascii="Times New Roman" w:hAnsi="Times New Roman" w:cs="Times New Roman"/>
          <w:b/>
          <w:sz w:val="24"/>
          <w:szCs w:val="24"/>
        </w:rPr>
      </w:pPr>
      <w:r w:rsidRPr="00212DDD">
        <w:rPr>
          <w:rFonts w:ascii="Times New Roman" w:hAnsi="Times New Roman" w:cs="Times New Roman"/>
          <w:sz w:val="24"/>
          <w:szCs w:val="24"/>
        </w:rPr>
        <w:t xml:space="preserve">Source: </w:t>
      </w:r>
      <w:proofErr w:type="spellStart"/>
      <w:r w:rsidRPr="00212DDD">
        <w:rPr>
          <w:rFonts w:ascii="Times New Roman" w:hAnsi="Times New Roman" w:cs="Times New Roman"/>
          <w:sz w:val="24"/>
          <w:szCs w:val="24"/>
        </w:rPr>
        <w:t>Eviews</w:t>
      </w:r>
      <w:proofErr w:type="spellEnd"/>
      <w:r w:rsidRPr="00212DDD">
        <w:rPr>
          <w:rFonts w:ascii="Times New Roman" w:hAnsi="Times New Roman" w:cs="Times New Roman"/>
          <w:sz w:val="24"/>
          <w:szCs w:val="24"/>
        </w:rPr>
        <w:t xml:space="preserve"> Output and Authors' Computation, 2024.</w:t>
      </w:r>
    </w:p>
    <w:p w14:paraId="64DB7A84" w14:textId="7C197161" w:rsidR="00CD4C0A" w:rsidRPr="00212DDD" w:rsidRDefault="00CD4C0A" w:rsidP="00212DDD">
      <w:pPr>
        <w:jc w:val="both"/>
        <w:rPr>
          <w:rFonts w:ascii="Times New Roman" w:eastAsia="Roboto" w:hAnsi="Times New Roman" w:cs="Times New Roman"/>
          <w:b/>
          <w:color w:val="374151"/>
          <w:sz w:val="24"/>
          <w:szCs w:val="24"/>
        </w:rPr>
      </w:pPr>
      <w:r w:rsidRPr="00212DDD">
        <w:rPr>
          <w:rFonts w:ascii="Times New Roman" w:hAnsi="Times New Roman" w:cs="Times New Roman"/>
          <w:sz w:val="24"/>
          <w:szCs w:val="24"/>
        </w:rPr>
        <w:br/>
      </w:r>
    </w:p>
    <w:p w14:paraId="0000006E" w14:textId="53AF16C6" w:rsidR="00BA7DAA" w:rsidRPr="00EA52C7" w:rsidRDefault="00BD10F2" w:rsidP="00212DDD">
      <w:pPr>
        <w:jc w:val="both"/>
        <w:rPr>
          <w:rFonts w:ascii="Times New Roman" w:eastAsia="Roboto" w:hAnsi="Times New Roman" w:cs="Times New Roman"/>
          <w:b/>
          <w:color w:val="374151"/>
          <w:sz w:val="24"/>
          <w:szCs w:val="24"/>
        </w:rPr>
      </w:pPr>
      <w:r w:rsidRPr="00EA52C7">
        <w:rPr>
          <w:rFonts w:ascii="Times New Roman" w:eastAsia="Roboto" w:hAnsi="Times New Roman" w:cs="Times New Roman"/>
          <w:b/>
          <w:color w:val="374151"/>
          <w:sz w:val="24"/>
          <w:szCs w:val="24"/>
        </w:rPr>
        <w:t>4.3. Pre-estimation analysis: unit root test</w:t>
      </w:r>
    </w:p>
    <w:p w14:paraId="7F099779" w14:textId="77777777" w:rsidR="00BD10F2" w:rsidRPr="00212DDD" w:rsidRDefault="00BD10F2" w:rsidP="00212DDD">
      <w:pPr>
        <w:jc w:val="both"/>
        <w:rPr>
          <w:rFonts w:ascii="Times New Roman" w:eastAsia="Roboto" w:hAnsi="Times New Roman" w:cs="Times New Roman"/>
          <w:color w:val="374151"/>
          <w:sz w:val="24"/>
          <w:szCs w:val="24"/>
        </w:rPr>
      </w:pPr>
    </w:p>
    <w:p w14:paraId="72104571" w14:textId="77777777" w:rsidR="009209FD" w:rsidRPr="00EA52C7" w:rsidRDefault="009209FD" w:rsidP="00EA52C7">
      <w:pPr>
        <w:jc w:val="both"/>
        <w:rPr>
          <w:rFonts w:ascii="Times New Roman" w:hAnsi="Times New Roman" w:cs="Times New Roman"/>
          <w:sz w:val="24"/>
          <w:szCs w:val="24"/>
        </w:rPr>
      </w:pPr>
      <w:r w:rsidRPr="00EA52C7">
        <w:rPr>
          <w:rFonts w:ascii="Times New Roman" w:hAnsi="Times New Roman" w:cs="Times New Roman"/>
          <w:sz w:val="24"/>
          <w:szCs w:val="24"/>
        </w:rPr>
        <w:t xml:space="preserve">The unit root tests, as presented in Table 4.3, are crucial for determining the </w:t>
      </w:r>
      <w:proofErr w:type="spellStart"/>
      <w:r w:rsidRPr="00EA52C7">
        <w:rPr>
          <w:rFonts w:ascii="Times New Roman" w:hAnsi="Times New Roman" w:cs="Times New Roman"/>
          <w:sz w:val="24"/>
          <w:szCs w:val="24"/>
        </w:rPr>
        <w:t>stationarity</w:t>
      </w:r>
      <w:proofErr w:type="spellEnd"/>
      <w:r w:rsidRPr="00EA52C7">
        <w:rPr>
          <w:rFonts w:ascii="Times New Roman" w:hAnsi="Times New Roman" w:cs="Times New Roman"/>
          <w:sz w:val="24"/>
          <w:szCs w:val="24"/>
        </w:rPr>
        <w:t xml:space="preserve"> of time series data, particularly in </w:t>
      </w:r>
      <w:proofErr w:type="spellStart"/>
      <w:r w:rsidRPr="00EA52C7">
        <w:rPr>
          <w:rFonts w:ascii="Times New Roman" w:hAnsi="Times New Roman" w:cs="Times New Roman"/>
          <w:sz w:val="24"/>
          <w:szCs w:val="24"/>
        </w:rPr>
        <w:t>analyzing</w:t>
      </w:r>
      <w:proofErr w:type="spellEnd"/>
      <w:r w:rsidRPr="00EA52C7">
        <w:rPr>
          <w:rFonts w:ascii="Times New Roman" w:hAnsi="Times New Roman" w:cs="Times New Roman"/>
          <w:sz w:val="24"/>
          <w:szCs w:val="24"/>
        </w:rPr>
        <w:t xml:space="preserve"> variables related to food security, democracy, governance, and renewable energy in Africa. The results indicate the presence or absence of unit roots, which signify non-</w:t>
      </w:r>
      <w:proofErr w:type="spellStart"/>
      <w:r w:rsidRPr="00EA52C7">
        <w:rPr>
          <w:rFonts w:ascii="Times New Roman" w:hAnsi="Times New Roman" w:cs="Times New Roman"/>
          <w:sz w:val="24"/>
          <w:szCs w:val="24"/>
        </w:rPr>
        <w:t>stationarity</w:t>
      </w:r>
      <w:proofErr w:type="spellEnd"/>
      <w:r w:rsidRPr="00EA52C7">
        <w:rPr>
          <w:rFonts w:ascii="Times New Roman" w:hAnsi="Times New Roman" w:cs="Times New Roman"/>
          <w:sz w:val="24"/>
          <w:szCs w:val="24"/>
        </w:rPr>
        <w:t xml:space="preserve">, and help determine the appropriate order of differencing required to achieve </w:t>
      </w:r>
      <w:proofErr w:type="spellStart"/>
      <w:r w:rsidRPr="00EA52C7">
        <w:rPr>
          <w:rFonts w:ascii="Times New Roman" w:hAnsi="Times New Roman" w:cs="Times New Roman"/>
          <w:sz w:val="24"/>
          <w:szCs w:val="24"/>
        </w:rPr>
        <w:t>stationarity</w:t>
      </w:r>
      <w:proofErr w:type="spellEnd"/>
      <w:r w:rsidRPr="00EA52C7">
        <w:rPr>
          <w:rFonts w:ascii="Times New Roman" w:hAnsi="Times New Roman" w:cs="Times New Roman"/>
          <w:sz w:val="24"/>
          <w:szCs w:val="24"/>
        </w:rPr>
        <w:t>.</w:t>
      </w:r>
    </w:p>
    <w:p w14:paraId="7544F1F0" w14:textId="77777777" w:rsidR="009209FD" w:rsidRPr="00EA52C7" w:rsidRDefault="009209FD" w:rsidP="00EA52C7">
      <w:pPr>
        <w:jc w:val="both"/>
        <w:rPr>
          <w:rFonts w:ascii="Times New Roman" w:hAnsi="Times New Roman" w:cs="Times New Roman"/>
          <w:sz w:val="24"/>
          <w:szCs w:val="24"/>
        </w:rPr>
      </w:pPr>
    </w:p>
    <w:p w14:paraId="710287FC" w14:textId="6D88DFF6" w:rsidR="009209FD" w:rsidRPr="00EA52C7" w:rsidRDefault="009209FD" w:rsidP="00EA52C7">
      <w:pPr>
        <w:jc w:val="both"/>
        <w:rPr>
          <w:rFonts w:ascii="Times New Roman" w:hAnsi="Times New Roman" w:cs="Times New Roman"/>
          <w:sz w:val="24"/>
          <w:szCs w:val="24"/>
        </w:rPr>
      </w:pPr>
      <w:r w:rsidRPr="00EA52C7">
        <w:rPr>
          <w:rFonts w:ascii="Times New Roman" w:hAnsi="Times New Roman" w:cs="Times New Roman"/>
          <w:sz w:val="24"/>
          <w:szCs w:val="24"/>
        </w:rPr>
        <w:t xml:space="preserve">For each variable, two statistics are provided: one for the level of the series and the other for the first difference. The statistics are expressed in terms of Levin, Lin &amp; Chu t-values, with values indicating </w:t>
      </w:r>
      <w:proofErr w:type="spellStart"/>
      <w:r w:rsidRPr="00EA52C7">
        <w:rPr>
          <w:rFonts w:ascii="Times New Roman" w:hAnsi="Times New Roman" w:cs="Times New Roman"/>
          <w:sz w:val="24"/>
          <w:szCs w:val="24"/>
        </w:rPr>
        <w:t>stationarity</w:t>
      </w:r>
      <w:proofErr w:type="spellEnd"/>
      <w:r w:rsidRPr="00EA52C7">
        <w:rPr>
          <w:rFonts w:ascii="Times New Roman" w:hAnsi="Times New Roman" w:cs="Times New Roman"/>
          <w:sz w:val="24"/>
          <w:szCs w:val="24"/>
        </w:rPr>
        <w:t xml:space="preserve"> at the respective levels of the series or differences.</w:t>
      </w:r>
    </w:p>
    <w:p w14:paraId="0927BBDF" w14:textId="77777777" w:rsidR="009209FD" w:rsidRPr="000E675B" w:rsidRDefault="009209FD" w:rsidP="00EA52C7">
      <w:pPr>
        <w:jc w:val="both"/>
        <w:rPr>
          <w:rFonts w:ascii="Times New Roman" w:hAnsi="Times New Roman" w:cs="Times New Roman"/>
          <w:sz w:val="14"/>
          <w:szCs w:val="24"/>
        </w:rPr>
      </w:pPr>
    </w:p>
    <w:p w14:paraId="545F0E16" w14:textId="77777777" w:rsidR="009209FD" w:rsidRPr="00EA52C7" w:rsidRDefault="009209FD" w:rsidP="00EA52C7">
      <w:pPr>
        <w:jc w:val="both"/>
        <w:rPr>
          <w:rFonts w:ascii="Times New Roman" w:hAnsi="Times New Roman" w:cs="Times New Roman"/>
          <w:sz w:val="24"/>
          <w:szCs w:val="24"/>
        </w:rPr>
      </w:pPr>
      <w:r w:rsidRPr="00EA52C7">
        <w:rPr>
          <w:rFonts w:ascii="Times New Roman" w:hAnsi="Times New Roman" w:cs="Times New Roman"/>
          <w:sz w:val="24"/>
          <w:szCs w:val="24"/>
        </w:rPr>
        <w:t xml:space="preserve">Food Supply (FSK): The level statistic is 24.2331, while the first difference statistic is 87.2978. These values suggest that the FSK series is stationary both at the level and the first difference, denoted as </w:t>
      </w:r>
      <w:proofErr w:type="gramStart"/>
      <w:r w:rsidRPr="00EA52C7">
        <w:rPr>
          <w:rFonts w:ascii="Times New Roman" w:hAnsi="Times New Roman" w:cs="Times New Roman"/>
          <w:sz w:val="24"/>
          <w:szCs w:val="24"/>
        </w:rPr>
        <w:t>I(</w:t>
      </w:r>
      <w:proofErr w:type="gramEnd"/>
      <w:r w:rsidRPr="00EA52C7">
        <w:rPr>
          <w:rFonts w:ascii="Times New Roman" w:hAnsi="Times New Roman" w:cs="Times New Roman"/>
          <w:sz w:val="24"/>
          <w:szCs w:val="24"/>
        </w:rPr>
        <w:t>0) and I(1) respectively.</w:t>
      </w:r>
    </w:p>
    <w:p w14:paraId="5DAC450C" w14:textId="77777777" w:rsidR="009209FD" w:rsidRPr="000E675B" w:rsidRDefault="009209FD" w:rsidP="00EA52C7">
      <w:pPr>
        <w:jc w:val="both"/>
        <w:rPr>
          <w:rFonts w:ascii="Times New Roman" w:hAnsi="Times New Roman" w:cs="Times New Roman"/>
          <w:sz w:val="12"/>
          <w:szCs w:val="24"/>
        </w:rPr>
      </w:pPr>
    </w:p>
    <w:p w14:paraId="34E1BC25" w14:textId="50A65944" w:rsidR="009209FD" w:rsidRPr="00EA52C7" w:rsidRDefault="009209FD" w:rsidP="00EA52C7">
      <w:pPr>
        <w:jc w:val="both"/>
        <w:rPr>
          <w:rFonts w:ascii="Times New Roman" w:hAnsi="Times New Roman" w:cs="Times New Roman"/>
          <w:sz w:val="24"/>
          <w:szCs w:val="24"/>
        </w:rPr>
      </w:pPr>
      <w:r w:rsidRPr="00EA52C7">
        <w:rPr>
          <w:rFonts w:ascii="Times New Roman" w:hAnsi="Times New Roman" w:cs="Times New Roman"/>
          <w:sz w:val="24"/>
          <w:szCs w:val="24"/>
        </w:rPr>
        <w:t xml:space="preserve">CPIA, DEM, EDB, FDI, REN, </w:t>
      </w:r>
      <w:proofErr w:type="gramStart"/>
      <w:r w:rsidRPr="00EA52C7">
        <w:rPr>
          <w:rFonts w:ascii="Times New Roman" w:hAnsi="Times New Roman" w:cs="Times New Roman"/>
          <w:sz w:val="24"/>
          <w:szCs w:val="24"/>
        </w:rPr>
        <w:t>TMP</w:t>
      </w:r>
      <w:proofErr w:type="gramEnd"/>
      <w:r w:rsidRPr="00EA52C7">
        <w:rPr>
          <w:rFonts w:ascii="Times New Roman" w:hAnsi="Times New Roman" w:cs="Times New Roman"/>
          <w:sz w:val="24"/>
          <w:szCs w:val="24"/>
        </w:rPr>
        <w:t xml:space="preserve">: Similarly, for the variables CPIA, DEM, EDB, FDI, REN, and TMP, the unit root test results indicate </w:t>
      </w:r>
      <w:proofErr w:type="spellStart"/>
      <w:r w:rsidRPr="00EA52C7">
        <w:rPr>
          <w:rFonts w:ascii="Times New Roman" w:hAnsi="Times New Roman" w:cs="Times New Roman"/>
          <w:sz w:val="24"/>
          <w:szCs w:val="24"/>
        </w:rPr>
        <w:t>stationarity</w:t>
      </w:r>
      <w:proofErr w:type="spellEnd"/>
      <w:r w:rsidRPr="00EA52C7">
        <w:rPr>
          <w:rFonts w:ascii="Times New Roman" w:hAnsi="Times New Roman" w:cs="Times New Roman"/>
          <w:sz w:val="24"/>
          <w:szCs w:val="24"/>
        </w:rPr>
        <w:t xml:space="preserve"> both at the level and the first difference, with negative statistics for both. This implies that these variables exhibit stationary </w:t>
      </w:r>
      <w:r w:rsidR="000E675B" w:rsidRPr="00EA52C7">
        <w:rPr>
          <w:rFonts w:ascii="Times New Roman" w:hAnsi="Times New Roman" w:cs="Times New Roman"/>
          <w:sz w:val="24"/>
          <w:szCs w:val="24"/>
        </w:rPr>
        <w:t>behaviour</w:t>
      </w:r>
      <w:r w:rsidRPr="00EA52C7">
        <w:rPr>
          <w:rFonts w:ascii="Times New Roman" w:hAnsi="Times New Roman" w:cs="Times New Roman"/>
          <w:sz w:val="24"/>
          <w:szCs w:val="24"/>
        </w:rPr>
        <w:t xml:space="preserve"> after taking the first difference, represented as </w:t>
      </w:r>
      <w:proofErr w:type="gramStart"/>
      <w:r w:rsidRPr="00EA52C7">
        <w:rPr>
          <w:rFonts w:ascii="Times New Roman" w:hAnsi="Times New Roman" w:cs="Times New Roman"/>
          <w:sz w:val="24"/>
          <w:szCs w:val="24"/>
        </w:rPr>
        <w:t>I(</w:t>
      </w:r>
      <w:proofErr w:type="gramEnd"/>
      <w:r w:rsidRPr="00EA52C7">
        <w:rPr>
          <w:rFonts w:ascii="Times New Roman" w:hAnsi="Times New Roman" w:cs="Times New Roman"/>
          <w:sz w:val="24"/>
          <w:szCs w:val="24"/>
        </w:rPr>
        <w:t>0) and I(1).</w:t>
      </w:r>
    </w:p>
    <w:p w14:paraId="52FBA8AA" w14:textId="77777777" w:rsidR="009209FD" w:rsidRPr="000E675B" w:rsidRDefault="009209FD" w:rsidP="00EA52C7">
      <w:pPr>
        <w:jc w:val="both"/>
        <w:rPr>
          <w:rFonts w:ascii="Times New Roman" w:hAnsi="Times New Roman" w:cs="Times New Roman"/>
          <w:sz w:val="12"/>
          <w:szCs w:val="24"/>
        </w:rPr>
      </w:pPr>
    </w:p>
    <w:p w14:paraId="1AA7EAB1" w14:textId="4F8911C9" w:rsidR="009209FD" w:rsidRPr="00EA52C7" w:rsidRDefault="009209FD" w:rsidP="00EA52C7">
      <w:pPr>
        <w:jc w:val="both"/>
        <w:rPr>
          <w:rFonts w:ascii="Times New Roman" w:hAnsi="Times New Roman" w:cs="Times New Roman"/>
          <w:sz w:val="24"/>
          <w:szCs w:val="24"/>
        </w:rPr>
      </w:pPr>
      <w:r w:rsidRPr="00EA52C7">
        <w:rPr>
          <w:rFonts w:ascii="Times New Roman" w:hAnsi="Times New Roman" w:cs="Times New Roman"/>
          <w:sz w:val="24"/>
          <w:szCs w:val="24"/>
        </w:rPr>
        <w:t xml:space="preserve">The </w:t>
      </w:r>
      <w:proofErr w:type="spellStart"/>
      <w:r w:rsidRPr="00EA52C7">
        <w:rPr>
          <w:rFonts w:ascii="Times New Roman" w:hAnsi="Times New Roman" w:cs="Times New Roman"/>
          <w:sz w:val="24"/>
          <w:szCs w:val="24"/>
        </w:rPr>
        <w:t>stationarity</w:t>
      </w:r>
      <w:proofErr w:type="spellEnd"/>
      <w:r w:rsidRPr="00EA52C7">
        <w:rPr>
          <w:rFonts w:ascii="Times New Roman" w:hAnsi="Times New Roman" w:cs="Times New Roman"/>
          <w:sz w:val="24"/>
          <w:szCs w:val="24"/>
        </w:rPr>
        <w:t xml:space="preserve"> of variables is crucial for time series analysis as it ensures that statistical properties remain consistent over time, facilitating reliable </w:t>
      </w:r>
      <w:r w:rsidR="000E675B" w:rsidRPr="00EA52C7">
        <w:rPr>
          <w:rFonts w:ascii="Times New Roman" w:hAnsi="Times New Roman" w:cs="Times New Roman"/>
          <w:sz w:val="24"/>
          <w:szCs w:val="24"/>
        </w:rPr>
        <w:t>modelling</w:t>
      </w:r>
      <w:r w:rsidRPr="00EA52C7">
        <w:rPr>
          <w:rFonts w:ascii="Times New Roman" w:hAnsi="Times New Roman" w:cs="Times New Roman"/>
          <w:sz w:val="24"/>
          <w:szCs w:val="24"/>
        </w:rPr>
        <w:t xml:space="preserve"> and forecasting. The results suggest that the variables under consideration in the study do not exhibit unit roots, indicating that they are stationary after taking the first difference. This provides a solid foundation for conducting further analysis, such as examining the relationships between variables, identifying causal links, and developing predictive models.</w:t>
      </w:r>
    </w:p>
    <w:p w14:paraId="36E3431F" w14:textId="77777777" w:rsidR="009209FD" w:rsidRPr="00212DDD" w:rsidRDefault="009209FD" w:rsidP="00212DDD">
      <w:pPr>
        <w:jc w:val="both"/>
        <w:rPr>
          <w:rFonts w:ascii="Times New Roman" w:eastAsia="Roboto" w:hAnsi="Times New Roman" w:cs="Times New Roman"/>
          <w:color w:val="374151"/>
          <w:sz w:val="24"/>
          <w:szCs w:val="24"/>
        </w:rPr>
      </w:pPr>
    </w:p>
    <w:p w14:paraId="2E04EC3A" w14:textId="77777777" w:rsidR="00BD10F2" w:rsidRPr="00212DDD" w:rsidRDefault="00BD10F2" w:rsidP="00212DDD">
      <w:pPr>
        <w:jc w:val="both"/>
        <w:rPr>
          <w:rFonts w:ascii="Times New Roman" w:eastAsia="Roboto" w:hAnsi="Times New Roman" w:cs="Times New Roman"/>
          <w:color w:val="374151"/>
          <w:sz w:val="24"/>
          <w:szCs w:val="24"/>
        </w:rPr>
      </w:pPr>
    </w:p>
    <w:p w14:paraId="0DE73CDF" w14:textId="1D03B0A3" w:rsidR="00BD10F2" w:rsidRPr="00EA52C7" w:rsidRDefault="00824485" w:rsidP="00212DDD">
      <w:pPr>
        <w:jc w:val="both"/>
        <w:rPr>
          <w:rFonts w:ascii="Times New Roman" w:eastAsia="Roboto" w:hAnsi="Times New Roman" w:cs="Times New Roman"/>
          <w:b/>
          <w:color w:val="374151"/>
          <w:sz w:val="24"/>
          <w:szCs w:val="24"/>
        </w:rPr>
      </w:pPr>
      <w:r w:rsidRPr="00EA52C7">
        <w:rPr>
          <w:rFonts w:ascii="Times New Roman" w:hAnsi="Times New Roman" w:cs="Times New Roman"/>
          <w:b/>
          <w:sz w:val="24"/>
          <w:szCs w:val="24"/>
        </w:rPr>
        <w:t>Table 4.3 Unit root/stationary tests results</w:t>
      </w:r>
    </w:p>
    <w:tbl>
      <w:tblPr>
        <w:tblW w:w="8289" w:type="dxa"/>
        <w:tblInd w:w="93" w:type="dxa"/>
        <w:tblBorders>
          <w:top w:val="single" w:sz="4" w:space="0" w:color="auto"/>
          <w:bottom w:val="single" w:sz="4" w:space="0" w:color="auto"/>
        </w:tblBorders>
        <w:tblLook w:val="04A0" w:firstRow="1" w:lastRow="0" w:firstColumn="1" w:lastColumn="0" w:noHBand="0" w:noVBand="1"/>
      </w:tblPr>
      <w:tblGrid>
        <w:gridCol w:w="1968"/>
        <w:gridCol w:w="1968"/>
        <w:gridCol w:w="2358"/>
        <w:gridCol w:w="1995"/>
      </w:tblGrid>
      <w:tr w:rsidR="00824485" w:rsidRPr="00EA52C7" w14:paraId="39DD10C4" w14:textId="77777777" w:rsidTr="00EA52C7">
        <w:trPr>
          <w:trHeight w:val="240"/>
        </w:trPr>
        <w:tc>
          <w:tcPr>
            <w:tcW w:w="1968" w:type="dxa"/>
            <w:tcBorders>
              <w:top w:val="single" w:sz="4" w:space="0" w:color="auto"/>
              <w:bottom w:val="single" w:sz="4" w:space="0" w:color="auto"/>
            </w:tcBorders>
            <w:shd w:val="clear" w:color="auto" w:fill="auto"/>
            <w:noWrap/>
            <w:vAlign w:val="bottom"/>
            <w:hideMark/>
          </w:tcPr>
          <w:p w14:paraId="6A431AF2" w14:textId="77777777" w:rsidR="00824485" w:rsidRPr="00EA52C7" w:rsidRDefault="00824485" w:rsidP="00212DDD">
            <w:pPr>
              <w:spacing w:line="240" w:lineRule="auto"/>
              <w:jc w:val="both"/>
              <w:rPr>
                <w:rFonts w:ascii="Times New Roman" w:eastAsia="Times New Roman" w:hAnsi="Times New Roman" w:cs="Times New Roman"/>
                <w:b/>
                <w:color w:val="000000"/>
                <w:sz w:val="24"/>
                <w:szCs w:val="24"/>
              </w:rPr>
            </w:pPr>
            <w:r w:rsidRPr="00EA52C7">
              <w:rPr>
                <w:rFonts w:ascii="Times New Roman" w:eastAsia="Times New Roman" w:hAnsi="Times New Roman" w:cs="Times New Roman"/>
                <w:b/>
                <w:color w:val="000000"/>
                <w:sz w:val="24"/>
                <w:szCs w:val="24"/>
              </w:rPr>
              <w:t> </w:t>
            </w:r>
          </w:p>
        </w:tc>
        <w:tc>
          <w:tcPr>
            <w:tcW w:w="1968" w:type="dxa"/>
            <w:tcBorders>
              <w:top w:val="single" w:sz="4" w:space="0" w:color="auto"/>
              <w:bottom w:val="single" w:sz="4" w:space="0" w:color="auto"/>
            </w:tcBorders>
            <w:shd w:val="clear" w:color="auto" w:fill="auto"/>
            <w:noWrap/>
            <w:vAlign w:val="bottom"/>
            <w:hideMark/>
          </w:tcPr>
          <w:p w14:paraId="2B6D9513" w14:textId="77777777" w:rsidR="00824485" w:rsidRPr="00EA52C7" w:rsidRDefault="00824485" w:rsidP="00212DDD">
            <w:pPr>
              <w:spacing w:line="240" w:lineRule="auto"/>
              <w:jc w:val="both"/>
              <w:rPr>
                <w:rFonts w:ascii="Times New Roman" w:eastAsia="Times New Roman" w:hAnsi="Times New Roman" w:cs="Times New Roman"/>
                <w:b/>
                <w:color w:val="000000"/>
                <w:sz w:val="24"/>
                <w:szCs w:val="24"/>
              </w:rPr>
            </w:pPr>
            <w:r w:rsidRPr="00EA52C7">
              <w:rPr>
                <w:rFonts w:ascii="Times New Roman" w:eastAsia="Times New Roman" w:hAnsi="Times New Roman" w:cs="Times New Roman"/>
                <w:b/>
                <w:color w:val="000000"/>
                <w:sz w:val="24"/>
                <w:szCs w:val="24"/>
              </w:rPr>
              <w:t>Level</w:t>
            </w:r>
          </w:p>
        </w:tc>
        <w:tc>
          <w:tcPr>
            <w:tcW w:w="2358" w:type="dxa"/>
            <w:tcBorders>
              <w:top w:val="single" w:sz="4" w:space="0" w:color="auto"/>
              <w:bottom w:val="single" w:sz="4" w:space="0" w:color="auto"/>
            </w:tcBorders>
            <w:shd w:val="clear" w:color="auto" w:fill="auto"/>
            <w:noWrap/>
            <w:vAlign w:val="bottom"/>
            <w:hideMark/>
          </w:tcPr>
          <w:p w14:paraId="25FCC79B" w14:textId="77777777" w:rsidR="00824485" w:rsidRPr="00EA52C7" w:rsidRDefault="00824485" w:rsidP="00212DDD">
            <w:pPr>
              <w:spacing w:line="240" w:lineRule="auto"/>
              <w:jc w:val="both"/>
              <w:rPr>
                <w:rFonts w:ascii="Times New Roman" w:eastAsia="Times New Roman" w:hAnsi="Times New Roman" w:cs="Times New Roman"/>
                <w:b/>
                <w:color w:val="000000"/>
                <w:sz w:val="24"/>
                <w:szCs w:val="24"/>
              </w:rPr>
            </w:pPr>
            <w:r w:rsidRPr="00EA52C7">
              <w:rPr>
                <w:rFonts w:ascii="Times New Roman" w:eastAsia="Times New Roman" w:hAnsi="Times New Roman" w:cs="Times New Roman"/>
                <w:b/>
                <w:color w:val="000000"/>
                <w:sz w:val="24"/>
                <w:szCs w:val="24"/>
              </w:rPr>
              <w:t>First Difference</w:t>
            </w:r>
          </w:p>
        </w:tc>
        <w:tc>
          <w:tcPr>
            <w:tcW w:w="1995" w:type="dxa"/>
            <w:tcBorders>
              <w:top w:val="single" w:sz="4" w:space="0" w:color="auto"/>
              <w:bottom w:val="single" w:sz="4" w:space="0" w:color="auto"/>
            </w:tcBorders>
            <w:shd w:val="clear" w:color="auto" w:fill="auto"/>
            <w:noWrap/>
            <w:vAlign w:val="bottom"/>
            <w:hideMark/>
          </w:tcPr>
          <w:p w14:paraId="6D8246A5" w14:textId="77777777" w:rsidR="00824485" w:rsidRPr="00EA52C7" w:rsidRDefault="00824485" w:rsidP="00212DDD">
            <w:pPr>
              <w:spacing w:line="240" w:lineRule="auto"/>
              <w:jc w:val="both"/>
              <w:rPr>
                <w:rFonts w:ascii="Times New Roman" w:eastAsia="Times New Roman" w:hAnsi="Times New Roman" w:cs="Times New Roman"/>
                <w:b/>
                <w:color w:val="000000"/>
                <w:sz w:val="24"/>
                <w:szCs w:val="24"/>
              </w:rPr>
            </w:pPr>
            <w:r w:rsidRPr="00EA52C7">
              <w:rPr>
                <w:rFonts w:ascii="Times New Roman" w:eastAsia="Times New Roman" w:hAnsi="Times New Roman" w:cs="Times New Roman"/>
                <w:b/>
                <w:color w:val="000000"/>
                <w:sz w:val="24"/>
                <w:szCs w:val="24"/>
              </w:rPr>
              <w:t>Decision</w:t>
            </w:r>
          </w:p>
        </w:tc>
      </w:tr>
      <w:tr w:rsidR="00824485" w:rsidRPr="00824485" w14:paraId="50BA97D1" w14:textId="77777777" w:rsidTr="00EA52C7">
        <w:trPr>
          <w:trHeight w:val="240"/>
        </w:trPr>
        <w:tc>
          <w:tcPr>
            <w:tcW w:w="1968" w:type="dxa"/>
            <w:tcBorders>
              <w:top w:val="single" w:sz="4" w:space="0" w:color="auto"/>
            </w:tcBorders>
            <w:shd w:val="clear" w:color="auto" w:fill="auto"/>
            <w:vAlign w:val="center"/>
            <w:hideMark/>
          </w:tcPr>
          <w:p w14:paraId="70D90D89" w14:textId="77777777" w:rsidR="00824485" w:rsidRPr="00824485" w:rsidRDefault="00824485" w:rsidP="00212DDD">
            <w:pPr>
              <w:spacing w:line="240" w:lineRule="auto"/>
              <w:jc w:val="both"/>
              <w:rPr>
                <w:rFonts w:ascii="Times New Roman" w:eastAsia="Times New Roman" w:hAnsi="Times New Roman" w:cs="Times New Roman"/>
                <w:color w:val="000000"/>
                <w:sz w:val="24"/>
                <w:szCs w:val="24"/>
              </w:rPr>
            </w:pPr>
            <w:r w:rsidRPr="00824485">
              <w:rPr>
                <w:rFonts w:ascii="Times New Roman" w:eastAsia="Times New Roman" w:hAnsi="Times New Roman" w:cs="Times New Roman"/>
                <w:color w:val="000000"/>
                <w:sz w:val="24"/>
                <w:szCs w:val="24"/>
              </w:rPr>
              <w:t>FSK</w:t>
            </w:r>
          </w:p>
        </w:tc>
        <w:tc>
          <w:tcPr>
            <w:tcW w:w="1968" w:type="dxa"/>
            <w:tcBorders>
              <w:top w:val="single" w:sz="4" w:space="0" w:color="auto"/>
            </w:tcBorders>
            <w:shd w:val="clear" w:color="auto" w:fill="auto"/>
            <w:noWrap/>
            <w:vAlign w:val="bottom"/>
            <w:hideMark/>
          </w:tcPr>
          <w:p w14:paraId="51E934E8" w14:textId="77777777" w:rsidR="00824485" w:rsidRPr="00824485" w:rsidRDefault="00824485" w:rsidP="00212DDD">
            <w:pPr>
              <w:spacing w:line="240" w:lineRule="auto"/>
              <w:jc w:val="both"/>
              <w:rPr>
                <w:rFonts w:ascii="Times New Roman" w:eastAsia="Times New Roman" w:hAnsi="Times New Roman" w:cs="Times New Roman"/>
                <w:color w:val="000000"/>
                <w:sz w:val="24"/>
                <w:szCs w:val="24"/>
              </w:rPr>
            </w:pPr>
            <w:r w:rsidRPr="00824485">
              <w:rPr>
                <w:rFonts w:ascii="Times New Roman" w:eastAsia="Times New Roman" w:hAnsi="Times New Roman" w:cs="Times New Roman"/>
                <w:color w:val="000000"/>
                <w:sz w:val="24"/>
                <w:szCs w:val="24"/>
              </w:rPr>
              <w:t> 24.2331</w:t>
            </w:r>
          </w:p>
        </w:tc>
        <w:tc>
          <w:tcPr>
            <w:tcW w:w="2358" w:type="dxa"/>
            <w:tcBorders>
              <w:top w:val="single" w:sz="4" w:space="0" w:color="auto"/>
            </w:tcBorders>
            <w:shd w:val="clear" w:color="auto" w:fill="auto"/>
            <w:noWrap/>
            <w:vAlign w:val="bottom"/>
            <w:hideMark/>
          </w:tcPr>
          <w:p w14:paraId="7A9F96F2" w14:textId="77777777" w:rsidR="00824485" w:rsidRPr="00824485" w:rsidRDefault="00824485" w:rsidP="00212DDD">
            <w:pPr>
              <w:spacing w:line="240" w:lineRule="auto"/>
              <w:jc w:val="both"/>
              <w:rPr>
                <w:rFonts w:ascii="Times New Roman" w:eastAsia="Times New Roman" w:hAnsi="Times New Roman" w:cs="Times New Roman"/>
                <w:color w:val="000000"/>
                <w:sz w:val="24"/>
                <w:szCs w:val="24"/>
              </w:rPr>
            </w:pPr>
            <w:r w:rsidRPr="00824485">
              <w:rPr>
                <w:rFonts w:ascii="Times New Roman" w:eastAsia="Times New Roman" w:hAnsi="Times New Roman" w:cs="Times New Roman"/>
                <w:color w:val="000000"/>
                <w:sz w:val="24"/>
                <w:szCs w:val="24"/>
              </w:rPr>
              <w:t>87.2978</w:t>
            </w:r>
          </w:p>
        </w:tc>
        <w:tc>
          <w:tcPr>
            <w:tcW w:w="1995" w:type="dxa"/>
            <w:tcBorders>
              <w:top w:val="single" w:sz="4" w:space="0" w:color="auto"/>
            </w:tcBorders>
            <w:shd w:val="clear" w:color="auto" w:fill="auto"/>
            <w:noWrap/>
            <w:vAlign w:val="bottom"/>
            <w:hideMark/>
          </w:tcPr>
          <w:p w14:paraId="576ECCFB" w14:textId="77777777" w:rsidR="00824485" w:rsidRPr="00824485" w:rsidRDefault="00824485" w:rsidP="00212DDD">
            <w:pPr>
              <w:spacing w:line="240" w:lineRule="auto"/>
              <w:jc w:val="both"/>
              <w:rPr>
                <w:rFonts w:ascii="Times New Roman" w:eastAsia="Times New Roman" w:hAnsi="Times New Roman" w:cs="Times New Roman"/>
                <w:color w:val="000000"/>
                <w:sz w:val="24"/>
                <w:szCs w:val="24"/>
              </w:rPr>
            </w:pPr>
            <w:r w:rsidRPr="00824485">
              <w:rPr>
                <w:rFonts w:ascii="Times New Roman" w:eastAsia="Times New Roman" w:hAnsi="Times New Roman" w:cs="Times New Roman"/>
                <w:color w:val="000000"/>
                <w:sz w:val="24"/>
                <w:szCs w:val="24"/>
              </w:rPr>
              <w:t>I(0), I(1)</w:t>
            </w:r>
          </w:p>
        </w:tc>
      </w:tr>
      <w:tr w:rsidR="00824485" w:rsidRPr="00824485" w14:paraId="2BB333A6" w14:textId="77777777" w:rsidTr="00EA52C7">
        <w:trPr>
          <w:trHeight w:val="240"/>
        </w:trPr>
        <w:tc>
          <w:tcPr>
            <w:tcW w:w="1968" w:type="dxa"/>
            <w:shd w:val="clear" w:color="auto" w:fill="auto"/>
            <w:vAlign w:val="center"/>
            <w:hideMark/>
          </w:tcPr>
          <w:p w14:paraId="215F1694" w14:textId="77777777" w:rsidR="00824485" w:rsidRPr="00824485" w:rsidRDefault="00824485" w:rsidP="00212DDD">
            <w:pPr>
              <w:spacing w:line="240" w:lineRule="auto"/>
              <w:jc w:val="both"/>
              <w:rPr>
                <w:rFonts w:ascii="Times New Roman" w:eastAsia="Times New Roman" w:hAnsi="Times New Roman" w:cs="Times New Roman"/>
                <w:color w:val="000000"/>
                <w:sz w:val="24"/>
                <w:szCs w:val="24"/>
              </w:rPr>
            </w:pPr>
            <w:r w:rsidRPr="00824485">
              <w:rPr>
                <w:rFonts w:ascii="Times New Roman" w:eastAsia="Times New Roman" w:hAnsi="Times New Roman" w:cs="Times New Roman"/>
                <w:color w:val="000000"/>
                <w:sz w:val="24"/>
                <w:szCs w:val="24"/>
              </w:rPr>
              <w:t>CPIA</w:t>
            </w:r>
          </w:p>
        </w:tc>
        <w:tc>
          <w:tcPr>
            <w:tcW w:w="1968" w:type="dxa"/>
            <w:shd w:val="clear" w:color="auto" w:fill="auto"/>
            <w:noWrap/>
            <w:vAlign w:val="bottom"/>
            <w:hideMark/>
          </w:tcPr>
          <w:p w14:paraId="57F1E396" w14:textId="77777777" w:rsidR="00824485" w:rsidRPr="00824485" w:rsidRDefault="00824485" w:rsidP="00212DDD">
            <w:pPr>
              <w:spacing w:line="240" w:lineRule="auto"/>
              <w:jc w:val="both"/>
              <w:rPr>
                <w:rFonts w:ascii="Times New Roman" w:eastAsia="Times New Roman" w:hAnsi="Times New Roman" w:cs="Times New Roman"/>
                <w:color w:val="000000"/>
                <w:sz w:val="24"/>
                <w:szCs w:val="24"/>
              </w:rPr>
            </w:pPr>
            <w:r w:rsidRPr="00824485">
              <w:rPr>
                <w:rFonts w:ascii="Times New Roman" w:eastAsia="Times New Roman" w:hAnsi="Times New Roman" w:cs="Times New Roman"/>
                <w:color w:val="000000"/>
                <w:sz w:val="24"/>
                <w:szCs w:val="24"/>
              </w:rPr>
              <w:t>-5.5294</w:t>
            </w:r>
          </w:p>
        </w:tc>
        <w:tc>
          <w:tcPr>
            <w:tcW w:w="2358" w:type="dxa"/>
            <w:shd w:val="clear" w:color="auto" w:fill="auto"/>
            <w:noWrap/>
            <w:vAlign w:val="bottom"/>
            <w:hideMark/>
          </w:tcPr>
          <w:p w14:paraId="75B4D7B1" w14:textId="77777777" w:rsidR="00824485" w:rsidRPr="00824485" w:rsidRDefault="00824485" w:rsidP="00212DDD">
            <w:pPr>
              <w:spacing w:line="240" w:lineRule="auto"/>
              <w:jc w:val="both"/>
              <w:rPr>
                <w:rFonts w:ascii="Times New Roman" w:eastAsia="Times New Roman" w:hAnsi="Times New Roman" w:cs="Times New Roman"/>
                <w:color w:val="000000"/>
                <w:sz w:val="24"/>
                <w:szCs w:val="24"/>
              </w:rPr>
            </w:pPr>
            <w:r w:rsidRPr="00824485">
              <w:rPr>
                <w:rFonts w:ascii="Times New Roman" w:eastAsia="Times New Roman" w:hAnsi="Times New Roman" w:cs="Times New Roman"/>
                <w:color w:val="000000"/>
                <w:sz w:val="24"/>
                <w:szCs w:val="24"/>
              </w:rPr>
              <w:t>-7.68449</w:t>
            </w:r>
          </w:p>
        </w:tc>
        <w:tc>
          <w:tcPr>
            <w:tcW w:w="1995" w:type="dxa"/>
            <w:shd w:val="clear" w:color="auto" w:fill="auto"/>
            <w:noWrap/>
            <w:vAlign w:val="bottom"/>
            <w:hideMark/>
          </w:tcPr>
          <w:p w14:paraId="35C39837" w14:textId="77777777" w:rsidR="00824485" w:rsidRPr="00824485" w:rsidRDefault="00824485" w:rsidP="00212DDD">
            <w:pPr>
              <w:spacing w:line="240" w:lineRule="auto"/>
              <w:jc w:val="both"/>
              <w:rPr>
                <w:rFonts w:ascii="Times New Roman" w:eastAsia="Times New Roman" w:hAnsi="Times New Roman" w:cs="Times New Roman"/>
                <w:color w:val="000000"/>
                <w:sz w:val="24"/>
                <w:szCs w:val="24"/>
              </w:rPr>
            </w:pPr>
            <w:r w:rsidRPr="00824485">
              <w:rPr>
                <w:rFonts w:ascii="Times New Roman" w:eastAsia="Times New Roman" w:hAnsi="Times New Roman" w:cs="Times New Roman"/>
                <w:color w:val="000000"/>
                <w:sz w:val="24"/>
                <w:szCs w:val="24"/>
              </w:rPr>
              <w:t>I(0), I(1)</w:t>
            </w:r>
          </w:p>
        </w:tc>
      </w:tr>
      <w:tr w:rsidR="00824485" w:rsidRPr="00824485" w14:paraId="3D84CD99" w14:textId="77777777" w:rsidTr="00EA52C7">
        <w:trPr>
          <w:trHeight w:val="240"/>
        </w:trPr>
        <w:tc>
          <w:tcPr>
            <w:tcW w:w="1968" w:type="dxa"/>
            <w:shd w:val="clear" w:color="auto" w:fill="auto"/>
            <w:vAlign w:val="center"/>
            <w:hideMark/>
          </w:tcPr>
          <w:p w14:paraId="14D12D97" w14:textId="77777777" w:rsidR="00824485" w:rsidRPr="00824485" w:rsidRDefault="00824485" w:rsidP="00212DDD">
            <w:pPr>
              <w:spacing w:line="240" w:lineRule="auto"/>
              <w:jc w:val="both"/>
              <w:rPr>
                <w:rFonts w:ascii="Times New Roman" w:eastAsia="Times New Roman" w:hAnsi="Times New Roman" w:cs="Times New Roman"/>
                <w:color w:val="000000"/>
                <w:sz w:val="24"/>
                <w:szCs w:val="24"/>
              </w:rPr>
            </w:pPr>
            <w:r w:rsidRPr="00824485">
              <w:rPr>
                <w:rFonts w:ascii="Times New Roman" w:eastAsia="Times New Roman" w:hAnsi="Times New Roman" w:cs="Times New Roman"/>
                <w:color w:val="000000"/>
                <w:sz w:val="24"/>
                <w:szCs w:val="24"/>
              </w:rPr>
              <w:t>DEM</w:t>
            </w:r>
          </w:p>
        </w:tc>
        <w:tc>
          <w:tcPr>
            <w:tcW w:w="1968" w:type="dxa"/>
            <w:shd w:val="clear" w:color="auto" w:fill="auto"/>
            <w:noWrap/>
            <w:vAlign w:val="bottom"/>
            <w:hideMark/>
          </w:tcPr>
          <w:p w14:paraId="37CEBBDE" w14:textId="77777777" w:rsidR="00824485" w:rsidRPr="00824485" w:rsidRDefault="00824485" w:rsidP="00212DDD">
            <w:pPr>
              <w:spacing w:line="240" w:lineRule="auto"/>
              <w:jc w:val="both"/>
              <w:rPr>
                <w:rFonts w:ascii="Times New Roman" w:eastAsia="Times New Roman" w:hAnsi="Times New Roman" w:cs="Times New Roman"/>
                <w:color w:val="000000"/>
                <w:sz w:val="24"/>
                <w:szCs w:val="24"/>
              </w:rPr>
            </w:pPr>
            <w:r w:rsidRPr="00824485">
              <w:rPr>
                <w:rFonts w:ascii="Times New Roman" w:eastAsia="Times New Roman" w:hAnsi="Times New Roman" w:cs="Times New Roman"/>
                <w:color w:val="000000"/>
                <w:sz w:val="24"/>
                <w:szCs w:val="24"/>
              </w:rPr>
              <w:t>-2.66354</w:t>
            </w:r>
          </w:p>
        </w:tc>
        <w:tc>
          <w:tcPr>
            <w:tcW w:w="2358" w:type="dxa"/>
            <w:shd w:val="clear" w:color="auto" w:fill="auto"/>
            <w:noWrap/>
            <w:vAlign w:val="bottom"/>
            <w:hideMark/>
          </w:tcPr>
          <w:p w14:paraId="110A0E77" w14:textId="77777777" w:rsidR="00824485" w:rsidRPr="00824485" w:rsidRDefault="00824485" w:rsidP="00212DDD">
            <w:pPr>
              <w:spacing w:line="240" w:lineRule="auto"/>
              <w:jc w:val="both"/>
              <w:rPr>
                <w:rFonts w:ascii="Times New Roman" w:eastAsia="Times New Roman" w:hAnsi="Times New Roman" w:cs="Times New Roman"/>
                <w:color w:val="000000"/>
                <w:sz w:val="24"/>
                <w:szCs w:val="24"/>
              </w:rPr>
            </w:pPr>
            <w:r w:rsidRPr="00824485">
              <w:rPr>
                <w:rFonts w:ascii="Times New Roman" w:eastAsia="Times New Roman" w:hAnsi="Times New Roman" w:cs="Times New Roman"/>
                <w:color w:val="000000"/>
                <w:sz w:val="24"/>
                <w:szCs w:val="24"/>
              </w:rPr>
              <w:t>-10.6271</w:t>
            </w:r>
          </w:p>
        </w:tc>
        <w:tc>
          <w:tcPr>
            <w:tcW w:w="1995" w:type="dxa"/>
            <w:shd w:val="clear" w:color="auto" w:fill="auto"/>
            <w:noWrap/>
            <w:vAlign w:val="bottom"/>
            <w:hideMark/>
          </w:tcPr>
          <w:p w14:paraId="49D9A467" w14:textId="77777777" w:rsidR="00824485" w:rsidRPr="00824485" w:rsidRDefault="00824485" w:rsidP="00212DDD">
            <w:pPr>
              <w:spacing w:line="240" w:lineRule="auto"/>
              <w:jc w:val="both"/>
              <w:rPr>
                <w:rFonts w:ascii="Times New Roman" w:eastAsia="Times New Roman" w:hAnsi="Times New Roman" w:cs="Times New Roman"/>
                <w:color w:val="000000"/>
                <w:sz w:val="24"/>
                <w:szCs w:val="24"/>
              </w:rPr>
            </w:pPr>
            <w:r w:rsidRPr="00824485">
              <w:rPr>
                <w:rFonts w:ascii="Times New Roman" w:eastAsia="Times New Roman" w:hAnsi="Times New Roman" w:cs="Times New Roman"/>
                <w:color w:val="000000"/>
                <w:sz w:val="24"/>
                <w:szCs w:val="24"/>
              </w:rPr>
              <w:t>I(0), I(1)</w:t>
            </w:r>
          </w:p>
        </w:tc>
      </w:tr>
      <w:tr w:rsidR="00824485" w:rsidRPr="00824485" w14:paraId="6D38A3A8" w14:textId="77777777" w:rsidTr="00EA52C7">
        <w:trPr>
          <w:trHeight w:val="240"/>
        </w:trPr>
        <w:tc>
          <w:tcPr>
            <w:tcW w:w="1968" w:type="dxa"/>
            <w:shd w:val="clear" w:color="auto" w:fill="auto"/>
            <w:vAlign w:val="center"/>
            <w:hideMark/>
          </w:tcPr>
          <w:p w14:paraId="2AD039AE" w14:textId="77777777" w:rsidR="00824485" w:rsidRPr="00824485" w:rsidRDefault="00824485" w:rsidP="00212DDD">
            <w:pPr>
              <w:spacing w:line="240" w:lineRule="auto"/>
              <w:jc w:val="both"/>
              <w:rPr>
                <w:rFonts w:ascii="Times New Roman" w:eastAsia="Times New Roman" w:hAnsi="Times New Roman" w:cs="Times New Roman"/>
                <w:color w:val="000000"/>
                <w:sz w:val="24"/>
                <w:szCs w:val="24"/>
              </w:rPr>
            </w:pPr>
            <w:r w:rsidRPr="00824485">
              <w:rPr>
                <w:rFonts w:ascii="Times New Roman" w:eastAsia="Times New Roman" w:hAnsi="Times New Roman" w:cs="Times New Roman"/>
                <w:color w:val="000000"/>
                <w:sz w:val="24"/>
                <w:szCs w:val="24"/>
              </w:rPr>
              <w:t>EDB</w:t>
            </w:r>
          </w:p>
        </w:tc>
        <w:tc>
          <w:tcPr>
            <w:tcW w:w="1968" w:type="dxa"/>
            <w:shd w:val="clear" w:color="auto" w:fill="auto"/>
            <w:noWrap/>
            <w:vAlign w:val="bottom"/>
            <w:hideMark/>
          </w:tcPr>
          <w:p w14:paraId="11418C8C" w14:textId="77777777" w:rsidR="00824485" w:rsidRPr="00824485" w:rsidRDefault="00824485" w:rsidP="00212DDD">
            <w:pPr>
              <w:spacing w:line="240" w:lineRule="auto"/>
              <w:jc w:val="both"/>
              <w:rPr>
                <w:rFonts w:ascii="Times New Roman" w:eastAsia="Times New Roman" w:hAnsi="Times New Roman" w:cs="Times New Roman"/>
                <w:color w:val="000000"/>
                <w:sz w:val="24"/>
                <w:szCs w:val="24"/>
              </w:rPr>
            </w:pPr>
            <w:r w:rsidRPr="00824485">
              <w:rPr>
                <w:rFonts w:ascii="Times New Roman" w:eastAsia="Times New Roman" w:hAnsi="Times New Roman" w:cs="Times New Roman"/>
                <w:color w:val="000000"/>
                <w:sz w:val="24"/>
                <w:szCs w:val="24"/>
              </w:rPr>
              <w:t>-1.35457</w:t>
            </w:r>
          </w:p>
        </w:tc>
        <w:tc>
          <w:tcPr>
            <w:tcW w:w="2358" w:type="dxa"/>
            <w:shd w:val="clear" w:color="auto" w:fill="auto"/>
            <w:noWrap/>
            <w:vAlign w:val="bottom"/>
            <w:hideMark/>
          </w:tcPr>
          <w:p w14:paraId="1AB9A383" w14:textId="77777777" w:rsidR="00824485" w:rsidRPr="00824485" w:rsidRDefault="00824485" w:rsidP="00212DDD">
            <w:pPr>
              <w:spacing w:line="240" w:lineRule="auto"/>
              <w:jc w:val="both"/>
              <w:rPr>
                <w:rFonts w:ascii="Times New Roman" w:eastAsia="Times New Roman" w:hAnsi="Times New Roman" w:cs="Times New Roman"/>
                <w:color w:val="000000"/>
                <w:sz w:val="24"/>
                <w:szCs w:val="24"/>
              </w:rPr>
            </w:pPr>
            <w:r w:rsidRPr="00824485">
              <w:rPr>
                <w:rFonts w:ascii="Times New Roman" w:eastAsia="Times New Roman" w:hAnsi="Times New Roman" w:cs="Times New Roman"/>
                <w:color w:val="000000"/>
                <w:sz w:val="24"/>
                <w:szCs w:val="24"/>
              </w:rPr>
              <w:t>-16.374</w:t>
            </w:r>
          </w:p>
        </w:tc>
        <w:tc>
          <w:tcPr>
            <w:tcW w:w="1995" w:type="dxa"/>
            <w:shd w:val="clear" w:color="auto" w:fill="auto"/>
            <w:noWrap/>
            <w:vAlign w:val="bottom"/>
            <w:hideMark/>
          </w:tcPr>
          <w:p w14:paraId="5EC2AB75" w14:textId="77777777" w:rsidR="00824485" w:rsidRPr="00824485" w:rsidRDefault="00824485" w:rsidP="00212DDD">
            <w:pPr>
              <w:spacing w:line="240" w:lineRule="auto"/>
              <w:jc w:val="both"/>
              <w:rPr>
                <w:rFonts w:ascii="Times New Roman" w:eastAsia="Times New Roman" w:hAnsi="Times New Roman" w:cs="Times New Roman"/>
                <w:color w:val="000000"/>
                <w:sz w:val="24"/>
                <w:szCs w:val="24"/>
              </w:rPr>
            </w:pPr>
            <w:r w:rsidRPr="00824485">
              <w:rPr>
                <w:rFonts w:ascii="Times New Roman" w:eastAsia="Times New Roman" w:hAnsi="Times New Roman" w:cs="Times New Roman"/>
                <w:color w:val="000000"/>
                <w:sz w:val="24"/>
                <w:szCs w:val="24"/>
              </w:rPr>
              <w:t>I(0), I(1)</w:t>
            </w:r>
          </w:p>
        </w:tc>
      </w:tr>
      <w:tr w:rsidR="00824485" w:rsidRPr="00824485" w14:paraId="426C06A0" w14:textId="77777777" w:rsidTr="00EA52C7">
        <w:trPr>
          <w:trHeight w:val="240"/>
        </w:trPr>
        <w:tc>
          <w:tcPr>
            <w:tcW w:w="1968" w:type="dxa"/>
            <w:shd w:val="clear" w:color="auto" w:fill="auto"/>
            <w:vAlign w:val="center"/>
            <w:hideMark/>
          </w:tcPr>
          <w:p w14:paraId="30EB6369" w14:textId="77777777" w:rsidR="00824485" w:rsidRPr="00824485" w:rsidRDefault="00824485" w:rsidP="00212DDD">
            <w:pPr>
              <w:spacing w:line="240" w:lineRule="auto"/>
              <w:jc w:val="both"/>
              <w:rPr>
                <w:rFonts w:ascii="Times New Roman" w:eastAsia="Times New Roman" w:hAnsi="Times New Roman" w:cs="Times New Roman"/>
                <w:color w:val="000000"/>
                <w:sz w:val="24"/>
                <w:szCs w:val="24"/>
              </w:rPr>
            </w:pPr>
            <w:r w:rsidRPr="00824485">
              <w:rPr>
                <w:rFonts w:ascii="Times New Roman" w:eastAsia="Times New Roman" w:hAnsi="Times New Roman" w:cs="Times New Roman"/>
                <w:color w:val="000000"/>
                <w:sz w:val="24"/>
                <w:szCs w:val="24"/>
              </w:rPr>
              <w:t>FDI</w:t>
            </w:r>
          </w:p>
        </w:tc>
        <w:tc>
          <w:tcPr>
            <w:tcW w:w="1968" w:type="dxa"/>
            <w:shd w:val="clear" w:color="auto" w:fill="auto"/>
            <w:noWrap/>
            <w:vAlign w:val="bottom"/>
            <w:hideMark/>
          </w:tcPr>
          <w:p w14:paraId="515184E4" w14:textId="77777777" w:rsidR="00824485" w:rsidRPr="00824485" w:rsidRDefault="00824485" w:rsidP="00212DDD">
            <w:pPr>
              <w:spacing w:line="240" w:lineRule="auto"/>
              <w:jc w:val="both"/>
              <w:rPr>
                <w:rFonts w:ascii="Times New Roman" w:eastAsia="Times New Roman" w:hAnsi="Times New Roman" w:cs="Times New Roman"/>
                <w:color w:val="000000"/>
                <w:sz w:val="24"/>
                <w:szCs w:val="24"/>
              </w:rPr>
            </w:pPr>
            <w:r w:rsidRPr="00824485">
              <w:rPr>
                <w:rFonts w:ascii="Times New Roman" w:eastAsia="Times New Roman" w:hAnsi="Times New Roman" w:cs="Times New Roman"/>
                <w:color w:val="000000"/>
                <w:sz w:val="24"/>
                <w:szCs w:val="24"/>
              </w:rPr>
              <w:t>-2.71442</w:t>
            </w:r>
          </w:p>
        </w:tc>
        <w:tc>
          <w:tcPr>
            <w:tcW w:w="2358" w:type="dxa"/>
            <w:shd w:val="clear" w:color="auto" w:fill="auto"/>
            <w:noWrap/>
            <w:vAlign w:val="bottom"/>
            <w:hideMark/>
          </w:tcPr>
          <w:p w14:paraId="3F63FF30" w14:textId="77777777" w:rsidR="00824485" w:rsidRPr="00824485" w:rsidRDefault="00824485" w:rsidP="00212DDD">
            <w:pPr>
              <w:spacing w:line="240" w:lineRule="auto"/>
              <w:jc w:val="both"/>
              <w:rPr>
                <w:rFonts w:ascii="Times New Roman" w:eastAsia="Times New Roman" w:hAnsi="Times New Roman" w:cs="Times New Roman"/>
                <w:color w:val="000000"/>
                <w:sz w:val="24"/>
                <w:szCs w:val="24"/>
              </w:rPr>
            </w:pPr>
            <w:r w:rsidRPr="00824485">
              <w:rPr>
                <w:rFonts w:ascii="Times New Roman" w:eastAsia="Times New Roman" w:hAnsi="Times New Roman" w:cs="Times New Roman"/>
                <w:color w:val="000000"/>
                <w:sz w:val="24"/>
                <w:szCs w:val="24"/>
              </w:rPr>
              <w:t>-12.5128</w:t>
            </w:r>
          </w:p>
        </w:tc>
        <w:tc>
          <w:tcPr>
            <w:tcW w:w="1995" w:type="dxa"/>
            <w:shd w:val="clear" w:color="auto" w:fill="auto"/>
            <w:noWrap/>
            <w:vAlign w:val="bottom"/>
            <w:hideMark/>
          </w:tcPr>
          <w:p w14:paraId="7A419E8A" w14:textId="77777777" w:rsidR="00824485" w:rsidRPr="00824485" w:rsidRDefault="00824485" w:rsidP="00212DDD">
            <w:pPr>
              <w:spacing w:line="240" w:lineRule="auto"/>
              <w:jc w:val="both"/>
              <w:rPr>
                <w:rFonts w:ascii="Times New Roman" w:eastAsia="Times New Roman" w:hAnsi="Times New Roman" w:cs="Times New Roman"/>
                <w:color w:val="000000"/>
                <w:sz w:val="24"/>
                <w:szCs w:val="24"/>
              </w:rPr>
            </w:pPr>
            <w:r w:rsidRPr="00824485">
              <w:rPr>
                <w:rFonts w:ascii="Times New Roman" w:eastAsia="Times New Roman" w:hAnsi="Times New Roman" w:cs="Times New Roman"/>
                <w:color w:val="000000"/>
                <w:sz w:val="24"/>
                <w:szCs w:val="24"/>
              </w:rPr>
              <w:t>I(0), I(1)</w:t>
            </w:r>
          </w:p>
        </w:tc>
      </w:tr>
      <w:tr w:rsidR="00824485" w:rsidRPr="00824485" w14:paraId="21B41CBF" w14:textId="77777777" w:rsidTr="00EA52C7">
        <w:trPr>
          <w:trHeight w:val="240"/>
        </w:trPr>
        <w:tc>
          <w:tcPr>
            <w:tcW w:w="1968" w:type="dxa"/>
            <w:shd w:val="clear" w:color="auto" w:fill="auto"/>
            <w:vAlign w:val="center"/>
            <w:hideMark/>
          </w:tcPr>
          <w:p w14:paraId="4546F095" w14:textId="77777777" w:rsidR="00824485" w:rsidRPr="00824485" w:rsidRDefault="00824485" w:rsidP="00212DDD">
            <w:pPr>
              <w:spacing w:line="240" w:lineRule="auto"/>
              <w:jc w:val="both"/>
              <w:rPr>
                <w:rFonts w:ascii="Times New Roman" w:eastAsia="Times New Roman" w:hAnsi="Times New Roman" w:cs="Times New Roman"/>
                <w:color w:val="000000"/>
                <w:sz w:val="24"/>
                <w:szCs w:val="24"/>
              </w:rPr>
            </w:pPr>
            <w:r w:rsidRPr="00824485">
              <w:rPr>
                <w:rFonts w:ascii="Times New Roman" w:eastAsia="Times New Roman" w:hAnsi="Times New Roman" w:cs="Times New Roman"/>
                <w:color w:val="000000"/>
                <w:sz w:val="24"/>
                <w:szCs w:val="24"/>
              </w:rPr>
              <w:t>REN</w:t>
            </w:r>
          </w:p>
        </w:tc>
        <w:tc>
          <w:tcPr>
            <w:tcW w:w="1968" w:type="dxa"/>
            <w:shd w:val="clear" w:color="auto" w:fill="auto"/>
            <w:noWrap/>
            <w:vAlign w:val="bottom"/>
            <w:hideMark/>
          </w:tcPr>
          <w:p w14:paraId="4D885068" w14:textId="77777777" w:rsidR="00824485" w:rsidRPr="00824485" w:rsidRDefault="00824485" w:rsidP="00212DDD">
            <w:pPr>
              <w:spacing w:line="240" w:lineRule="auto"/>
              <w:jc w:val="both"/>
              <w:rPr>
                <w:rFonts w:ascii="Times New Roman" w:eastAsia="Times New Roman" w:hAnsi="Times New Roman" w:cs="Times New Roman"/>
                <w:color w:val="000000"/>
                <w:sz w:val="24"/>
                <w:szCs w:val="24"/>
              </w:rPr>
            </w:pPr>
            <w:r w:rsidRPr="00824485">
              <w:rPr>
                <w:rFonts w:ascii="Times New Roman" w:eastAsia="Times New Roman" w:hAnsi="Times New Roman" w:cs="Times New Roman"/>
                <w:color w:val="000000"/>
                <w:sz w:val="24"/>
                <w:szCs w:val="24"/>
              </w:rPr>
              <w:t>4.21474</w:t>
            </w:r>
          </w:p>
        </w:tc>
        <w:tc>
          <w:tcPr>
            <w:tcW w:w="2358" w:type="dxa"/>
            <w:shd w:val="clear" w:color="auto" w:fill="auto"/>
            <w:noWrap/>
            <w:vAlign w:val="bottom"/>
            <w:hideMark/>
          </w:tcPr>
          <w:p w14:paraId="01817C2D" w14:textId="77777777" w:rsidR="00824485" w:rsidRPr="00824485" w:rsidRDefault="00824485" w:rsidP="00212DDD">
            <w:pPr>
              <w:spacing w:line="240" w:lineRule="auto"/>
              <w:jc w:val="both"/>
              <w:rPr>
                <w:rFonts w:ascii="Times New Roman" w:eastAsia="Times New Roman" w:hAnsi="Times New Roman" w:cs="Times New Roman"/>
                <w:color w:val="000000"/>
                <w:sz w:val="24"/>
                <w:szCs w:val="24"/>
              </w:rPr>
            </w:pPr>
            <w:r w:rsidRPr="00824485">
              <w:rPr>
                <w:rFonts w:ascii="Times New Roman" w:eastAsia="Times New Roman" w:hAnsi="Times New Roman" w:cs="Times New Roman"/>
                <w:color w:val="000000"/>
                <w:sz w:val="24"/>
                <w:szCs w:val="24"/>
              </w:rPr>
              <w:t> 9.03178</w:t>
            </w:r>
          </w:p>
        </w:tc>
        <w:tc>
          <w:tcPr>
            <w:tcW w:w="1995" w:type="dxa"/>
            <w:shd w:val="clear" w:color="auto" w:fill="auto"/>
            <w:noWrap/>
            <w:vAlign w:val="bottom"/>
            <w:hideMark/>
          </w:tcPr>
          <w:p w14:paraId="5F858E62" w14:textId="77777777" w:rsidR="00824485" w:rsidRPr="00824485" w:rsidRDefault="00824485" w:rsidP="00212DDD">
            <w:pPr>
              <w:spacing w:line="240" w:lineRule="auto"/>
              <w:jc w:val="both"/>
              <w:rPr>
                <w:rFonts w:ascii="Times New Roman" w:eastAsia="Times New Roman" w:hAnsi="Times New Roman" w:cs="Times New Roman"/>
                <w:color w:val="000000"/>
                <w:sz w:val="24"/>
                <w:szCs w:val="24"/>
              </w:rPr>
            </w:pPr>
            <w:r w:rsidRPr="00824485">
              <w:rPr>
                <w:rFonts w:ascii="Times New Roman" w:eastAsia="Times New Roman" w:hAnsi="Times New Roman" w:cs="Times New Roman"/>
                <w:color w:val="000000"/>
                <w:sz w:val="24"/>
                <w:szCs w:val="24"/>
              </w:rPr>
              <w:t>I(0), I(1)</w:t>
            </w:r>
          </w:p>
        </w:tc>
      </w:tr>
      <w:tr w:rsidR="00824485" w:rsidRPr="00824485" w14:paraId="2FC43B50" w14:textId="77777777" w:rsidTr="00EA52C7">
        <w:trPr>
          <w:trHeight w:val="240"/>
        </w:trPr>
        <w:tc>
          <w:tcPr>
            <w:tcW w:w="1968" w:type="dxa"/>
            <w:shd w:val="clear" w:color="auto" w:fill="auto"/>
            <w:vAlign w:val="center"/>
            <w:hideMark/>
          </w:tcPr>
          <w:p w14:paraId="15BF93D8" w14:textId="77777777" w:rsidR="00824485" w:rsidRPr="00824485" w:rsidRDefault="00824485" w:rsidP="00212DDD">
            <w:pPr>
              <w:spacing w:line="240" w:lineRule="auto"/>
              <w:jc w:val="both"/>
              <w:rPr>
                <w:rFonts w:ascii="Times New Roman" w:eastAsia="Times New Roman" w:hAnsi="Times New Roman" w:cs="Times New Roman"/>
                <w:color w:val="000000"/>
                <w:sz w:val="24"/>
                <w:szCs w:val="24"/>
              </w:rPr>
            </w:pPr>
            <w:r w:rsidRPr="00824485">
              <w:rPr>
                <w:rFonts w:ascii="Times New Roman" w:eastAsia="Times New Roman" w:hAnsi="Times New Roman" w:cs="Times New Roman"/>
                <w:color w:val="000000"/>
                <w:sz w:val="24"/>
                <w:szCs w:val="24"/>
              </w:rPr>
              <w:t>TMP</w:t>
            </w:r>
          </w:p>
        </w:tc>
        <w:tc>
          <w:tcPr>
            <w:tcW w:w="1968" w:type="dxa"/>
            <w:shd w:val="clear" w:color="auto" w:fill="auto"/>
            <w:noWrap/>
            <w:vAlign w:val="bottom"/>
            <w:hideMark/>
          </w:tcPr>
          <w:p w14:paraId="719791BE" w14:textId="77777777" w:rsidR="00824485" w:rsidRPr="00824485" w:rsidRDefault="00824485" w:rsidP="00212DDD">
            <w:pPr>
              <w:spacing w:line="240" w:lineRule="auto"/>
              <w:jc w:val="both"/>
              <w:rPr>
                <w:rFonts w:ascii="Times New Roman" w:eastAsia="Times New Roman" w:hAnsi="Times New Roman" w:cs="Times New Roman"/>
                <w:color w:val="000000"/>
                <w:sz w:val="24"/>
                <w:szCs w:val="24"/>
              </w:rPr>
            </w:pPr>
            <w:r w:rsidRPr="00824485">
              <w:rPr>
                <w:rFonts w:ascii="Times New Roman" w:eastAsia="Times New Roman" w:hAnsi="Times New Roman" w:cs="Times New Roman"/>
                <w:color w:val="000000"/>
                <w:sz w:val="24"/>
                <w:szCs w:val="24"/>
              </w:rPr>
              <w:t>-10.5137</w:t>
            </w:r>
          </w:p>
        </w:tc>
        <w:tc>
          <w:tcPr>
            <w:tcW w:w="2358" w:type="dxa"/>
            <w:shd w:val="clear" w:color="auto" w:fill="auto"/>
            <w:noWrap/>
            <w:vAlign w:val="bottom"/>
            <w:hideMark/>
          </w:tcPr>
          <w:p w14:paraId="5EBF22C7" w14:textId="77777777" w:rsidR="00824485" w:rsidRPr="00824485" w:rsidRDefault="00824485" w:rsidP="00212DDD">
            <w:pPr>
              <w:spacing w:line="240" w:lineRule="auto"/>
              <w:jc w:val="both"/>
              <w:rPr>
                <w:rFonts w:ascii="Times New Roman" w:eastAsia="Times New Roman" w:hAnsi="Times New Roman" w:cs="Times New Roman"/>
                <w:color w:val="000000"/>
                <w:sz w:val="24"/>
                <w:szCs w:val="24"/>
              </w:rPr>
            </w:pPr>
            <w:r w:rsidRPr="00824485">
              <w:rPr>
                <w:rFonts w:ascii="Times New Roman" w:eastAsia="Times New Roman" w:hAnsi="Times New Roman" w:cs="Times New Roman"/>
                <w:color w:val="000000"/>
                <w:sz w:val="24"/>
                <w:szCs w:val="24"/>
              </w:rPr>
              <w:t>-22.519</w:t>
            </w:r>
          </w:p>
        </w:tc>
        <w:tc>
          <w:tcPr>
            <w:tcW w:w="1995" w:type="dxa"/>
            <w:shd w:val="clear" w:color="auto" w:fill="auto"/>
            <w:noWrap/>
            <w:vAlign w:val="bottom"/>
            <w:hideMark/>
          </w:tcPr>
          <w:p w14:paraId="65A616C4" w14:textId="77777777" w:rsidR="00824485" w:rsidRPr="00824485" w:rsidRDefault="00824485" w:rsidP="00212DDD">
            <w:pPr>
              <w:spacing w:line="240" w:lineRule="auto"/>
              <w:jc w:val="both"/>
              <w:rPr>
                <w:rFonts w:ascii="Times New Roman" w:eastAsia="Times New Roman" w:hAnsi="Times New Roman" w:cs="Times New Roman"/>
                <w:color w:val="000000"/>
                <w:sz w:val="24"/>
                <w:szCs w:val="24"/>
              </w:rPr>
            </w:pPr>
            <w:r w:rsidRPr="00824485">
              <w:rPr>
                <w:rFonts w:ascii="Times New Roman" w:eastAsia="Times New Roman" w:hAnsi="Times New Roman" w:cs="Times New Roman"/>
                <w:color w:val="000000"/>
                <w:sz w:val="24"/>
                <w:szCs w:val="24"/>
              </w:rPr>
              <w:t>I(0), I(1)</w:t>
            </w:r>
          </w:p>
        </w:tc>
      </w:tr>
    </w:tbl>
    <w:p w14:paraId="3C95CE28" w14:textId="620B305A" w:rsidR="00824485" w:rsidRPr="00212DDD" w:rsidRDefault="00824485" w:rsidP="00212DDD">
      <w:pPr>
        <w:jc w:val="both"/>
        <w:rPr>
          <w:rFonts w:ascii="Times New Roman" w:hAnsi="Times New Roman" w:cs="Times New Roman"/>
          <w:b/>
          <w:sz w:val="24"/>
          <w:szCs w:val="24"/>
        </w:rPr>
      </w:pPr>
      <w:r w:rsidRPr="00212DDD">
        <w:rPr>
          <w:rFonts w:ascii="Times New Roman" w:hAnsi="Times New Roman" w:cs="Times New Roman"/>
          <w:sz w:val="24"/>
          <w:szCs w:val="24"/>
        </w:rPr>
        <w:t xml:space="preserve">Source: </w:t>
      </w:r>
      <w:proofErr w:type="spellStart"/>
      <w:r w:rsidRPr="00212DDD">
        <w:rPr>
          <w:rFonts w:ascii="Times New Roman" w:hAnsi="Times New Roman" w:cs="Times New Roman"/>
          <w:sz w:val="24"/>
          <w:szCs w:val="24"/>
        </w:rPr>
        <w:t>Eviews</w:t>
      </w:r>
      <w:proofErr w:type="spellEnd"/>
      <w:r w:rsidRPr="00212DDD">
        <w:rPr>
          <w:rFonts w:ascii="Times New Roman" w:hAnsi="Times New Roman" w:cs="Times New Roman"/>
          <w:sz w:val="24"/>
          <w:szCs w:val="24"/>
        </w:rPr>
        <w:t xml:space="preserve"> Output and Authors' Computation, 2024.Note: </w:t>
      </w:r>
      <w:proofErr w:type="gramStart"/>
      <w:r w:rsidRPr="00212DDD">
        <w:rPr>
          <w:rFonts w:ascii="Times New Roman" w:eastAsia="Times New Roman" w:hAnsi="Times New Roman" w:cs="Times New Roman"/>
          <w:color w:val="000000"/>
          <w:sz w:val="24"/>
          <w:szCs w:val="24"/>
        </w:rPr>
        <w:t>I(</w:t>
      </w:r>
      <w:proofErr w:type="gramEnd"/>
      <w:r w:rsidRPr="00212DDD">
        <w:rPr>
          <w:rFonts w:ascii="Times New Roman" w:eastAsia="Times New Roman" w:hAnsi="Times New Roman" w:cs="Times New Roman"/>
          <w:color w:val="000000"/>
          <w:sz w:val="24"/>
          <w:szCs w:val="24"/>
        </w:rPr>
        <w:t xml:space="preserve">0) and </w:t>
      </w:r>
      <w:r w:rsidRPr="00824485">
        <w:rPr>
          <w:rFonts w:ascii="Times New Roman" w:eastAsia="Times New Roman" w:hAnsi="Times New Roman" w:cs="Times New Roman"/>
          <w:color w:val="000000"/>
          <w:sz w:val="24"/>
          <w:szCs w:val="24"/>
        </w:rPr>
        <w:t>I(1)</w:t>
      </w:r>
      <w:r w:rsidRPr="00212DDD">
        <w:rPr>
          <w:rFonts w:ascii="Times New Roman" w:eastAsia="Times New Roman" w:hAnsi="Times New Roman" w:cs="Times New Roman"/>
          <w:color w:val="000000"/>
          <w:sz w:val="24"/>
          <w:szCs w:val="24"/>
        </w:rPr>
        <w:t xml:space="preserve"> stationary at level and first difference. </w:t>
      </w:r>
      <w:proofErr w:type="gramStart"/>
      <w:r w:rsidRPr="00212DDD">
        <w:rPr>
          <w:rFonts w:ascii="Times New Roman" w:eastAsia="Times New Roman" w:hAnsi="Times New Roman" w:cs="Times New Roman"/>
          <w:color w:val="000000"/>
          <w:sz w:val="24"/>
          <w:szCs w:val="24"/>
        </w:rPr>
        <w:t>Value are</w:t>
      </w:r>
      <w:proofErr w:type="gramEnd"/>
      <w:r w:rsidRPr="00212DDD">
        <w:rPr>
          <w:rFonts w:ascii="Times New Roman" w:eastAsia="Times New Roman" w:hAnsi="Times New Roman" w:cs="Times New Roman"/>
          <w:color w:val="000000"/>
          <w:sz w:val="24"/>
          <w:szCs w:val="24"/>
        </w:rPr>
        <w:t xml:space="preserve"> </w:t>
      </w:r>
      <w:r w:rsidRPr="00212DDD">
        <w:rPr>
          <w:rFonts w:ascii="Times New Roman" w:hAnsi="Times New Roman" w:cs="Times New Roman"/>
          <w:color w:val="000000"/>
          <w:sz w:val="24"/>
          <w:szCs w:val="24"/>
        </w:rPr>
        <w:t>Levin, Lin &amp; Chu t</w:t>
      </w:r>
    </w:p>
    <w:p w14:paraId="7B16FBA5" w14:textId="77777777" w:rsidR="00BD10F2" w:rsidRPr="00212DDD" w:rsidRDefault="00BD10F2" w:rsidP="00212DDD">
      <w:pPr>
        <w:jc w:val="both"/>
        <w:rPr>
          <w:rFonts w:ascii="Times New Roman" w:eastAsia="Roboto" w:hAnsi="Times New Roman" w:cs="Times New Roman"/>
          <w:color w:val="374151"/>
          <w:sz w:val="24"/>
          <w:szCs w:val="24"/>
        </w:rPr>
      </w:pPr>
    </w:p>
    <w:p w14:paraId="3BC0D178" w14:textId="55B11743" w:rsidR="00BD10F2" w:rsidRPr="00EA52C7" w:rsidRDefault="009209FD" w:rsidP="00212DDD">
      <w:pPr>
        <w:jc w:val="both"/>
        <w:rPr>
          <w:rFonts w:ascii="Times New Roman" w:hAnsi="Times New Roman" w:cs="Times New Roman"/>
          <w:b/>
          <w:sz w:val="24"/>
          <w:szCs w:val="24"/>
        </w:rPr>
      </w:pPr>
      <w:r w:rsidRPr="00EA52C7">
        <w:rPr>
          <w:rFonts w:ascii="Times New Roman" w:hAnsi="Times New Roman" w:cs="Times New Roman"/>
          <w:b/>
          <w:sz w:val="24"/>
          <w:szCs w:val="24"/>
        </w:rPr>
        <w:t>4.4. Panel data model estimation</w:t>
      </w:r>
    </w:p>
    <w:p w14:paraId="05D64494" w14:textId="77777777" w:rsidR="009209FD" w:rsidRPr="00212DDD" w:rsidRDefault="009209FD" w:rsidP="00212DDD">
      <w:pPr>
        <w:jc w:val="both"/>
        <w:rPr>
          <w:rFonts w:ascii="Times New Roman" w:hAnsi="Times New Roman" w:cs="Times New Roman"/>
          <w:sz w:val="24"/>
          <w:szCs w:val="24"/>
        </w:rPr>
      </w:pPr>
    </w:p>
    <w:p w14:paraId="08119013" w14:textId="76228E79" w:rsidR="009209FD" w:rsidRPr="00EA52C7" w:rsidRDefault="009209FD" w:rsidP="00EA52C7">
      <w:pPr>
        <w:jc w:val="both"/>
        <w:rPr>
          <w:rFonts w:ascii="Times New Roman" w:hAnsi="Times New Roman" w:cs="Times New Roman"/>
          <w:sz w:val="24"/>
          <w:szCs w:val="24"/>
        </w:rPr>
      </w:pPr>
      <w:r w:rsidRPr="00EA52C7">
        <w:rPr>
          <w:rFonts w:ascii="Times New Roman" w:hAnsi="Times New Roman" w:cs="Times New Roman"/>
          <w:sz w:val="24"/>
          <w:szCs w:val="24"/>
        </w:rPr>
        <w:t xml:space="preserve">This section reveals the results obtained from panel regression analysis. To determine the correlation, we examined the combined regression assuming consistent intercepts across nations and years. Additionally, we assumed different constants for each nation and then conducted both random and fixed effect regressions. We used the </w:t>
      </w:r>
      <w:proofErr w:type="spellStart"/>
      <w:r w:rsidRPr="00EA52C7">
        <w:rPr>
          <w:rFonts w:ascii="Times New Roman" w:hAnsi="Times New Roman" w:cs="Times New Roman"/>
          <w:sz w:val="24"/>
          <w:szCs w:val="24"/>
        </w:rPr>
        <w:t>Hausman</w:t>
      </w:r>
      <w:proofErr w:type="spellEnd"/>
      <w:r w:rsidRPr="00EA52C7">
        <w:rPr>
          <w:rFonts w:ascii="Times New Roman" w:hAnsi="Times New Roman" w:cs="Times New Roman"/>
          <w:sz w:val="24"/>
          <w:szCs w:val="24"/>
        </w:rPr>
        <w:t xml:space="preserve"> test statistic (Table 4.4) to choose between random and fixed effects. The null hypothesis suggests that random effects are the preferred model, but we rejected this in </w:t>
      </w:r>
      <w:r w:rsidR="000E675B" w:rsidRPr="00EA52C7">
        <w:rPr>
          <w:rFonts w:ascii="Times New Roman" w:hAnsi="Times New Roman" w:cs="Times New Roman"/>
          <w:sz w:val="24"/>
          <w:szCs w:val="24"/>
        </w:rPr>
        <w:t>favour</w:t>
      </w:r>
      <w:r w:rsidRPr="00EA52C7">
        <w:rPr>
          <w:rFonts w:ascii="Times New Roman" w:hAnsi="Times New Roman" w:cs="Times New Roman"/>
          <w:sz w:val="24"/>
          <w:szCs w:val="24"/>
        </w:rPr>
        <w:t xml:space="preserve"> of fixed effects. This analysis primarily investigates whether the unique errors (</w:t>
      </w:r>
      <w:proofErr w:type="spellStart"/>
      <w:r w:rsidRPr="00EA52C7">
        <w:rPr>
          <w:rFonts w:ascii="Times New Roman" w:hAnsi="Times New Roman" w:cs="Times New Roman"/>
          <w:sz w:val="24"/>
          <w:szCs w:val="24"/>
        </w:rPr>
        <w:t>ui</w:t>
      </w:r>
      <w:proofErr w:type="spellEnd"/>
      <w:r w:rsidRPr="00EA52C7">
        <w:rPr>
          <w:rFonts w:ascii="Times New Roman" w:hAnsi="Times New Roman" w:cs="Times New Roman"/>
          <w:sz w:val="24"/>
          <w:szCs w:val="24"/>
        </w:rPr>
        <w:t xml:space="preserve">) are correlated with the </w:t>
      </w:r>
      <w:proofErr w:type="spellStart"/>
      <w:r w:rsidRPr="00EA52C7">
        <w:rPr>
          <w:rFonts w:ascii="Times New Roman" w:hAnsi="Times New Roman" w:cs="Times New Roman"/>
          <w:sz w:val="24"/>
          <w:szCs w:val="24"/>
        </w:rPr>
        <w:t>regressors</w:t>
      </w:r>
      <w:proofErr w:type="spellEnd"/>
      <w:r w:rsidRPr="00EA52C7">
        <w:rPr>
          <w:rFonts w:ascii="Times New Roman" w:hAnsi="Times New Roman" w:cs="Times New Roman"/>
          <w:sz w:val="24"/>
          <w:szCs w:val="24"/>
        </w:rPr>
        <w:t>. The null hypothesis suggests that the unique errors (</w:t>
      </w:r>
      <w:proofErr w:type="spellStart"/>
      <w:r w:rsidRPr="00EA52C7">
        <w:rPr>
          <w:rFonts w:ascii="Times New Roman" w:hAnsi="Times New Roman" w:cs="Times New Roman"/>
          <w:sz w:val="24"/>
          <w:szCs w:val="24"/>
        </w:rPr>
        <w:t>ui</w:t>
      </w:r>
      <w:proofErr w:type="spellEnd"/>
      <w:r w:rsidRPr="00EA52C7">
        <w:rPr>
          <w:rFonts w:ascii="Times New Roman" w:hAnsi="Times New Roman" w:cs="Times New Roman"/>
          <w:sz w:val="24"/>
          <w:szCs w:val="24"/>
        </w:rPr>
        <w:t xml:space="preserve">) do not correlate with the </w:t>
      </w:r>
      <w:proofErr w:type="spellStart"/>
      <w:r w:rsidRPr="00EA52C7">
        <w:rPr>
          <w:rFonts w:ascii="Times New Roman" w:hAnsi="Times New Roman" w:cs="Times New Roman"/>
          <w:sz w:val="24"/>
          <w:szCs w:val="24"/>
        </w:rPr>
        <w:t>regressors</w:t>
      </w:r>
      <w:proofErr w:type="spellEnd"/>
      <w:r w:rsidRPr="00EA52C7">
        <w:rPr>
          <w:rFonts w:ascii="Times New Roman" w:hAnsi="Times New Roman" w:cs="Times New Roman"/>
          <w:sz w:val="24"/>
          <w:szCs w:val="24"/>
        </w:rPr>
        <w:t>. The random effect approximations can be found in the appendix.</w:t>
      </w:r>
    </w:p>
    <w:p w14:paraId="552B2B7D" w14:textId="77777777" w:rsidR="009209FD" w:rsidRPr="00212DDD" w:rsidRDefault="009209FD" w:rsidP="00212DDD">
      <w:pPr>
        <w:jc w:val="both"/>
        <w:rPr>
          <w:rFonts w:ascii="Times New Roman" w:eastAsia="Roboto" w:hAnsi="Times New Roman" w:cs="Times New Roman"/>
          <w:color w:val="374151"/>
          <w:sz w:val="24"/>
          <w:szCs w:val="24"/>
        </w:rPr>
      </w:pPr>
    </w:p>
    <w:p w14:paraId="74302AF5" w14:textId="0C7175A9" w:rsidR="009209FD" w:rsidRPr="00212DDD" w:rsidRDefault="009209FD" w:rsidP="00212DDD">
      <w:pPr>
        <w:jc w:val="both"/>
        <w:rPr>
          <w:rFonts w:ascii="Times New Roman" w:eastAsia="Roboto" w:hAnsi="Times New Roman" w:cs="Times New Roman"/>
          <w:color w:val="374151"/>
          <w:sz w:val="24"/>
          <w:szCs w:val="24"/>
        </w:rPr>
      </w:pPr>
      <w:r w:rsidRPr="00212DDD">
        <w:rPr>
          <w:rFonts w:ascii="Times New Roman" w:eastAsia="Roboto" w:hAnsi="Times New Roman" w:cs="Times New Roman"/>
          <w:color w:val="374151"/>
          <w:sz w:val="24"/>
          <w:szCs w:val="24"/>
        </w:rPr>
        <w:t xml:space="preserve">Table 4.5 </w:t>
      </w:r>
      <w:proofErr w:type="spellStart"/>
      <w:r w:rsidRPr="00212DDD">
        <w:rPr>
          <w:rFonts w:ascii="Times New Roman" w:eastAsia="Roboto" w:hAnsi="Times New Roman" w:cs="Times New Roman"/>
          <w:color w:val="374151"/>
          <w:sz w:val="24"/>
          <w:szCs w:val="24"/>
        </w:rPr>
        <w:t>Hausman</w:t>
      </w:r>
      <w:proofErr w:type="spellEnd"/>
      <w:r w:rsidRPr="00212DDD">
        <w:rPr>
          <w:rFonts w:ascii="Times New Roman" w:eastAsia="Roboto" w:hAnsi="Times New Roman" w:cs="Times New Roman"/>
          <w:color w:val="374151"/>
          <w:sz w:val="24"/>
          <w:szCs w:val="24"/>
        </w:rPr>
        <w:t xml:space="preserve"> Test</w:t>
      </w:r>
    </w:p>
    <w:tbl>
      <w:tblPr>
        <w:tblW w:w="0" w:type="auto"/>
        <w:tblInd w:w="30" w:type="dxa"/>
        <w:tblLayout w:type="fixed"/>
        <w:tblCellMar>
          <w:left w:w="0" w:type="dxa"/>
          <w:right w:w="0" w:type="dxa"/>
        </w:tblCellMar>
        <w:tblLook w:val="0000" w:firstRow="0" w:lastRow="0" w:firstColumn="0" w:lastColumn="0" w:noHBand="0" w:noVBand="0"/>
      </w:tblPr>
      <w:tblGrid>
        <w:gridCol w:w="2594"/>
        <w:gridCol w:w="1418"/>
        <w:gridCol w:w="1552"/>
        <w:gridCol w:w="1553"/>
        <w:gridCol w:w="1282"/>
      </w:tblGrid>
      <w:tr w:rsidR="009209FD" w:rsidRPr="00212DDD" w14:paraId="27C1C970" w14:textId="77777777" w:rsidTr="009209FD">
        <w:trPr>
          <w:trHeight w:val="222"/>
        </w:trPr>
        <w:tc>
          <w:tcPr>
            <w:tcW w:w="4012" w:type="dxa"/>
            <w:gridSpan w:val="2"/>
            <w:tcBorders>
              <w:top w:val="single" w:sz="4" w:space="0" w:color="auto"/>
              <w:left w:val="nil"/>
              <w:bottom w:val="nil"/>
              <w:right w:val="nil"/>
            </w:tcBorders>
            <w:vAlign w:val="bottom"/>
          </w:tcPr>
          <w:p w14:paraId="77E588AE"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Test Summary</w:t>
            </w:r>
          </w:p>
        </w:tc>
        <w:tc>
          <w:tcPr>
            <w:tcW w:w="1552" w:type="dxa"/>
            <w:tcBorders>
              <w:top w:val="single" w:sz="4" w:space="0" w:color="auto"/>
              <w:left w:val="nil"/>
              <w:bottom w:val="nil"/>
              <w:right w:val="nil"/>
            </w:tcBorders>
            <w:vAlign w:val="bottom"/>
          </w:tcPr>
          <w:p w14:paraId="3BB967C8" w14:textId="77777777"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Chi-Sq. Statistic</w:t>
            </w:r>
          </w:p>
        </w:tc>
        <w:tc>
          <w:tcPr>
            <w:tcW w:w="1553" w:type="dxa"/>
            <w:tcBorders>
              <w:top w:val="single" w:sz="4" w:space="0" w:color="auto"/>
              <w:left w:val="nil"/>
              <w:bottom w:val="nil"/>
              <w:right w:val="nil"/>
            </w:tcBorders>
            <w:vAlign w:val="bottom"/>
          </w:tcPr>
          <w:p w14:paraId="52CF4523" w14:textId="77777777"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 xml:space="preserve">Chi-Sq. </w:t>
            </w:r>
            <w:proofErr w:type="spellStart"/>
            <w:r w:rsidRPr="00212DDD">
              <w:rPr>
                <w:rFonts w:ascii="Times New Roman" w:hAnsi="Times New Roman" w:cs="Times New Roman"/>
                <w:color w:val="000000"/>
                <w:sz w:val="24"/>
                <w:szCs w:val="24"/>
              </w:rPr>
              <w:t>d.f.</w:t>
            </w:r>
            <w:proofErr w:type="spellEnd"/>
          </w:p>
        </w:tc>
        <w:tc>
          <w:tcPr>
            <w:tcW w:w="1282" w:type="dxa"/>
            <w:tcBorders>
              <w:top w:val="single" w:sz="4" w:space="0" w:color="auto"/>
              <w:left w:val="nil"/>
              <w:bottom w:val="nil"/>
              <w:right w:val="nil"/>
            </w:tcBorders>
            <w:vAlign w:val="bottom"/>
          </w:tcPr>
          <w:p w14:paraId="749C359D" w14:textId="77777777"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Prob. </w:t>
            </w:r>
          </w:p>
        </w:tc>
      </w:tr>
      <w:tr w:rsidR="009209FD" w:rsidRPr="00212DDD" w14:paraId="1DD46B95" w14:textId="77777777" w:rsidTr="009209FD">
        <w:trPr>
          <w:trHeight w:hRule="exact" w:val="89"/>
        </w:trPr>
        <w:tc>
          <w:tcPr>
            <w:tcW w:w="2594" w:type="dxa"/>
            <w:tcBorders>
              <w:top w:val="nil"/>
              <w:left w:val="nil"/>
              <w:bottom w:val="double" w:sz="6" w:space="2" w:color="auto"/>
              <w:right w:val="nil"/>
            </w:tcBorders>
            <w:vAlign w:val="bottom"/>
          </w:tcPr>
          <w:p w14:paraId="50599BD6"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c>
          <w:tcPr>
            <w:tcW w:w="1418" w:type="dxa"/>
            <w:tcBorders>
              <w:top w:val="nil"/>
              <w:left w:val="nil"/>
              <w:bottom w:val="double" w:sz="6" w:space="2" w:color="auto"/>
              <w:right w:val="nil"/>
            </w:tcBorders>
            <w:vAlign w:val="bottom"/>
          </w:tcPr>
          <w:p w14:paraId="18BC4BE4"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c>
          <w:tcPr>
            <w:tcW w:w="1552" w:type="dxa"/>
            <w:tcBorders>
              <w:top w:val="nil"/>
              <w:left w:val="nil"/>
              <w:bottom w:val="double" w:sz="6" w:space="2" w:color="auto"/>
              <w:right w:val="nil"/>
            </w:tcBorders>
            <w:vAlign w:val="bottom"/>
          </w:tcPr>
          <w:p w14:paraId="0AB839EE"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c>
          <w:tcPr>
            <w:tcW w:w="1553" w:type="dxa"/>
            <w:tcBorders>
              <w:top w:val="nil"/>
              <w:left w:val="nil"/>
              <w:bottom w:val="double" w:sz="6" w:space="2" w:color="auto"/>
              <w:right w:val="nil"/>
            </w:tcBorders>
            <w:vAlign w:val="bottom"/>
          </w:tcPr>
          <w:p w14:paraId="5893199B"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c>
          <w:tcPr>
            <w:tcW w:w="1282" w:type="dxa"/>
            <w:tcBorders>
              <w:top w:val="nil"/>
              <w:left w:val="nil"/>
              <w:bottom w:val="double" w:sz="6" w:space="2" w:color="auto"/>
              <w:right w:val="nil"/>
            </w:tcBorders>
            <w:vAlign w:val="bottom"/>
          </w:tcPr>
          <w:p w14:paraId="1E4A275A"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r>
      <w:tr w:rsidR="009209FD" w:rsidRPr="00212DDD" w14:paraId="5840115E" w14:textId="77777777" w:rsidTr="009209FD">
        <w:trPr>
          <w:trHeight w:hRule="exact" w:val="133"/>
        </w:trPr>
        <w:tc>
          <w:tcPr>
            <w:tcW w:w="2594" w:type="dxa"/>
            <w:tcBorders>
              <w:top w:val="nil"/>
              <w:left w:val="nil"/>
              <w:bottom w:val="nil"/>
              <w:right w:val="nil"/>
            </w:tcBorders>
            <w:vAlign w:val="bottom"/>
          </w:tcPr>
          <w:p w14:paraId="792FFC55"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c>
          <w:tcPr>
            <w:tcW w:w="1418" w:type="dxa"/>
            <w:tcBorders>
              <w:top w:val="nil"/>
              <w:left w:val="nil"/>
              <w:bottom w:val="nil"/>
              <w:right w:val="nil"/>
            </w:tcBorders>
            <w:vAlign w:val="bottom"/>
          </w:tcPr>
          <w:p w14:paraId="40F0347A"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c>
          <w:tcPr>
            <w:tcW w:w="1552" w:type="dxa"/>
            <w:tcBorders>
              <w:top w:val="nil"/>
              <w:left w:val="nil"/>
              <w:bottom w:val="nil"/>
              <w:right w:val="nil"/>
            </w:tcBorders>
            <w:vAlign w:val="bottom"/>
          </w:tcPr>
          <w:p w14:paraId="5A19FFDD"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c>
          <w:tcPr>
            <w:tcW w:w="1553" w:type="dxa"/>
            <w:tcBorders>
              <w:top w:val="nil"/>
              <w:left w:val="nil"/>
              <w:bottom w:val="nil"/>
              <w:right w:val="nil"/>
            </w:tcBorders>
            <w:vAlign w:val="bottom"/>
          </w:tcPr>
          <w:p w14:paraId="3279AF6E"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c>
          <w:tcPr>
            <w:tcW w:w="1282" w:type="dxa"/>
            <w:tcBorders>
              <w:top w:val="nil"/>
              <w:left w:val="nil"/>
              <w:bottom w:val="nil"/>
              <w:right w:val="nil"/>
            </w:tcBorders>
            <w:vAlign w:val="bottom"/>
          </w:tcPr>
          <w:p w14:paraId="014BE941"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r>
      <w:tr w:rsidR="009209FD" w:rsidRPr="00212DDD" w14:paraId="22FCC438" w14:textId="77777777" w:rsidTr="009209FD">
        <w:trPr>
          <w:trHeight w:val="222"/>
        </w:trPr>
        <w:tc>
          <w:tcPr>
            <w:tcW w:w="4012" w:type="dxa"/>
            <w:gridSpan w:val="2"/>
            <w:tcBorders>
              <w:top w:val="nil"/>
              <w:left w:val="nil"/>
              <w:bottom w:val="nil"/>
              <w:right w:val="nil"/>
            </w:tcBorders>
            <w:vAlign w:val="bottom"/>
          </w:tcPr>
          <w:p w14:paraId="2CE72A2D"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Cross-section random</w:t>
            </w:r>
          </w:p>
        </w:tc>
        <w:tc>
          <w:tcPr>
            <w:tcW w:w="1552" w:type="dxa"/>
            <w:tcBorders>
              <w:top w:val="nil"/>
              <w:left w:val="nil"/>
              <w:bottom w:val="nil"/>
              <w:right w:val="nil"/>
            </w:tcBorders>
            <w:vAlign w:val="bottom"/>
          </w:tcPr>
          <w:p w14:paraId="3B49DC49" w14:textId="12A31F74"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52.634</w:t>
            </w:r>
          </w:p>
        </w:tc>
        <w:tc>
          <w:tcPr>
            <w:tcW w:w="1553" w:type="dxa"/>
            <w:tcBorders>
              <w:top w:val="nil"/>
              <w:left w:val="nil"/>
              <w:bottom w:val="nil"/>
              <w:right w:val="nil"/>
            </w:tcBorders>
            <w:vAlign w:val="bottom"/>
          </w:tcPr>
          <w:p w14:paraId="1B94B17E" w14:textId="77777777"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6</w:t>
            </w:r>
          </w:p>
        </w:tc>
        <w:tc>
          <w:tcPr>
            <w:tcW w:w="1282" w:type="dxa"/>
            <w:tcBorders>
              <w:top w:val="nil"/>
              <w:left w:val="nil"/>
              <w:bottom w:val="nil"/>
              <w:right w:val="nil"/>
            </w:tcBorders>
            <w:vAlign w:val="bottom"/>
          </w:tcPr>
          <w:p w14:paraId="3269E180" w14:textId="16FA71DF"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0.000</w:t>
            </w:r>
          </w:p>
        </w:tc>
      </w:tr>
      <w:tr w:rsidR="009209FD" w:rsidRPr="00212DDD" w14:paraId="1AD4BB81" w14:textId="77777777" w:rsidTr="009209FD">
        <w:trPr>
          <w:trHeight w:hRule="exact" w:val="89"/>
        </w:trPr>
        <w:tc>
          <w:tcPr>
            <w:tcW w:w="2594" w:type="dxa"/>
            <w:tcBorders>
              <w:top w:val="nil"/>
              <w:left w:val="nil"/>
              <w:bottom w:val="double" w:sz="6" w:space="2" w:color="auto"/>
              <w:right w:val="nil"/>
            </w:tcBorders>
            <w:vAlign w:val="bottom"/>
          </w:tcPr>
          <w:p w14:paraId="56004E37"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c>
          <w:tcPr>
            <w:tcW w:w="1418" w:type="dxa"/>
            <w:tcBorders>
              <w:top w:val="nil"/>
              <w:left w:val="nil"/>
              <w:bottom w:val="double" w:sz="6" w:space="2" w:color="auto"/>
              <w:right w:val="nil"/>
            </w:tcBorders>
            <w:vAlign w:val="bottom"/>
          </w:tcPr>
          <w:p w14:paraId="64C584D2"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c>
          <w:tcPr>
            <w:tcW w:w="1552" w:type="dxa"/>
            <w:tcBorders>
              <w:top w:val="nil"/>
              <w:left w:val="nil"/>
              <w:bottom w:val="double" w:sz="6" w:space="2" w:color="auto"/>
              <w:right w:val="nil"/>
            </w:tcBorders>
            <w:vAlign w:val="bottom"/>
          </w:tcPr>
          <w:p w14:paraId="08855B43"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c>
          <w:tcPr>
            <w:tcW w:w="1553" w:type="dxa"/>
            <w:tcBorders>
              <w:top w:val="nil"/>
              <w:left w:val="nil"/>
              <w:bottom w:val="double" w:sz="6" w:space="2" w:color="auto"/>
              <w:right w:val="nil"/>
            </w:tcBorders>
            <w:vAlign w:val="bottom"/>
          </w:tcPr>
          <w:p w14:paraId="7F0ACD30"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c>
          <w:tcPr>
            <w:tcW w:w="1282" w:type="dxa"/>
            <w:tcBorders>
              <w:top w:val="nil"/>
              <w:left w:val="nil"/>
              <w:bottom w:val="double" w:sz="6" w:space="2" w:color="auto"/>
              <w:right w:val="nil"/>
            </w:tcBorders>
            <w:vAlign w:val="bottom"/>
          </w:tcPr>
          <w:p w14:paraId="5C6E9EF3"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r>
      <w:tr w:rsidR="009209FD" w:rsidRPr="00212DDD" w14:paraId="6C807936" w14:textId="77777777" w:rsidTr="009209FD">
        <w:trPr>
          <w:trHeight w:hRule="exact" w:val="133"/>
        </w:trPr>
        <w:tc>
          <w:tcPr>
            <w:tcW w:w="2594" w:type="dxa"/>
            <w:tcBorders>
              <w:top w:val="nil"/>
              <w:left w:val="nil"/>
              <w:bottom w:val="nil"/>
              <w:right w:val="nil"/>
            </w:tcBorders>
            <w:vAlign w:val="bottom"/>
          </w:tcPr>
          <w:p w14:paraId="6E29F490"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c>
          <w:tcPr>
            <w:tcW w:w="1418" w:type="dxa"/>
            <w:tcBorders>
              <w:top w:val="nil"/>
              <w:left w:val="nil"/>
              <w:bottom w:val="nil"/>
              <w:right w:val="nil"/>
            </w:tcBorders>
            <w:vAlign w:val="bottom"/>
          </w:tcPr>
          <w:p w14:paraId="5A983B10"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c>
          <w:tcPr>
            <w:tcW w:w="1552" w:type="dxa"/>
            <w:tcBorders>
              <w:top w:val="nil"/>
              <w:left w:val="nil"/>
              <w:bottom w:val="nil"/>
              <w:right w:val="nil"/>
            </w:tcBorders>
            <w:vAlign w:val="bottom"/>
          </w:tcPr>
          <w:p w14:paraId="1D1EAD4E"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c>
          <w:tcPr>
            <w:tcW w:w="1553" w:type="dxa"/>
            <w:tcBorders>
              <w:top w:val="nil"/>
              <w:left w:val="nil"/>
              <w:bottom w:val="nil"/>
              <w:right w:val="nil"/>
            </w:tcBorders>
            <w:vAlign w:val="bottom"/>
          </w:tcPr>
          <w:p w14:paraId="3CEB50AB"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c>
          <w:tcPr>
            <w:tcW w:w="1282" w:type="dxa"/>
            <w:tcBorders>
              <w:top w:val="nil"/>
              <w:left w:val="nil"/>
              <w:bottom w:val="nil"/>
              <w:right w:val="nil"/>
            </w:tcBorders>
            <w:vAlign w:val="bottom"/>
          </w:tcPr>
          <w:p w14:paraId="2A8286F7"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r>
      <w:tr w:rsidR="009209FD" w:rsidRPr="00212DDD" w14:paraId="7E948EED" w14:textId="77777777" w:rsidTr="009209FD">
        <w:trPr>
          <w:trHeight w:val="222"/>
        </w:trPr>
        <w:tc>
          <w:tcPr>
            <w:tcW w:w="8399" w:type="dxa"/>
            <w:gridSpan w:val="5"/>
            <w:tcBorders>
              <w:top w:val="nil"/>
              <w:left w:val="nil"/>
              <w:bottom w:val="nil"/>
              <w:right w:val="nil"/>
            </w:tcBorders>
            <w:vAlign w:val="bottom"/>
          </w:tcPr>
          <w:p w14:paraId="08F37322"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Cross-section random effects test comparisons:</w:t>
            </w:r>
          </w:p>
        </w:tc>
      </w:tr>
      <w:tr w:rsidR="009209FD" w:rsidRPr="00212DDD" w14:paraId="6379DE00" w14:textId="77777777" w:rsidTr="009209FD">
        <w:trPr>
          <w:trHeight w:val="222"/>
        </w:trPr>
        <w:tc>
          <w:tcPr>
            <w:tcW w:w="2594" w:type="dxa"/>
            <w:tcBorders>
              <w:top w:val="nil"/>
              <w:left w:val="nil"/>
              <w:bottom w:val="nil"/>
              <w:right w:val="nil"/>
            </w:tcBorders>
            <w:vAlign w:val="bottom"/>
          </w:tcPr>
          <w:p w14:paraId="344084CC"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Variable</w:t>
            </w:r>
          </w:p>
        </w:tc>
        <w:tc>
          <w:tcPr>
            <w:tcW w:w="1418" w:type="dxa"/>
            <w:tcBorders>
              <w:top w:val="nil"/>
              <w:left w:val="nil"/>
              <w:bottom w:val="nil"/>
              <w:right w:val="nil"/>
            </w:tcBorders>
            <w:vAlign w:val="bottom"/>
          </w:tcPr>
          <w:p w14:paraId="2A334E44" w14:textId="77777777"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Fixed  </w:t>
            </w:r>
          </w:p>
        </w:tc>
        <w:tc>
          <w:tcPr>
            <w:tcW w:w="1552" w:type="dxa"/>
            <w:tcBorders>
              <w:top w:val="nil"/>
              <w:left w:val="nil"/>
              <w:bottom w:val="nil"/>
              <w:right w:val="nil"/>
            </w:tcBorders>
            <w:vAlign w:val="bottom"/>
          </w:tcPr>
          <w:p w14:paraId="0D4E5D79" w14:textId="77777777"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Random </w:t>
            </w:r>
          </w:p>
        </w:tc>
        <w:tc>
          <w:tcPr>
            <w:tcW w:w="1553" w:type="dxa"/>
            <w:tcBorders>
              <w:top w:val="nil"/>
              <w:left w:val="nil"/>
              <w:bottom w:val="nil"/>
              <w:right w:val="nil"/>
            </w:tcBorders>
            <w:vAlign w:val="bottom"/>
          </w:tcPr>
          <w:p w14:paraId="1264AB79" w14:textId="77777777"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proofErr w:type="spellStart"/>
            <w:r w:rsidRPr="00212DDD">
              <w:rPr>
                <w:rFonts w:ascii="Times New Roman" w:hAnsi="Times New Roman" w:cs="Times New Roman"/>
                <w:color w:val="000000"/>
                <w:sz w:val="24"/>
                <w:szCs w:val="24"/>
              </w:rPr>
              <w:t>Var</w:t>
            </w:r>
            <w:proofErr w:type="spellEnd"/>
            <w:r w:rsidRPr="00212DDD">
              <w:rPr>
                <w:rFonts w:ascii="Times New Roman" w:hAnsi="Times New Roman" w:cs="Times New Roman"/>
                <w:color w:val="000000"/>
                <w:sz w:val="24"/>
                <w:szCs w:val="24"/>
              </w:rPr>
              <w:t>(Diff.) </w:t>
            </w:r>
          </w:p>
        </w:tc>
        <w:tc>
          <w:tcPr>
            <w:tcW w:w="1282" w:type="dxa"/>
            <w:tcBorders>
              <w:top w:val="nil"/>
              <w:left w:val="nil"/>
              <w:bottom w:val="nil"/>
              <w:right w:val="nil"/>
            </w:tcBorders>
            <w:vAlign w:val="bottom"/>
          </w:tcPr>
          <w:p w14:paraId="3B13037E" w14:textId="77777777"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Prob. </w:t>
            </w:r>
          </w:p>
        </w:tc>
      </w:tr>
      <w:tr w:rsidR="009209FD" w:rsidRPr="00212DDD" w14:paraId="79BB410D" w14:textId="77777777" w:rsidTr="009209FD">
        <w:trPr>
          <w:trHeight w:hRule="exact" w:val="89"/>
        </w:trPr>
        <w:tc>
          <w:tcPr>
            <w:tcW w:w="2594" w:type="dxa"/>
            <w:tcBorders>
              <w:top w:val="nil"/>
              <w:left w:val="nil"/>
              <w:bottom w:val="double" w:sz="6" w:space="2" w:color="auto"/>
              <w:right w:val="nil"/>
            </w:tcBorders>
            <w:vAlign w:val="bottom"/>
          </w:tcPr>
          <w:p w14:paraId="55468F0C"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c>
          <w:tcPr>
            <w:tcW w:w="1418" w:type="dxa"/>
            <w:tcBorders>
              <w:top w:val="nil"/>
              <w:left w:val="nil"/>
              <w:bottom w:val="double" w:sz="6" w:space="2" w:color="auto"/>
              <w:right w:val="nil"/>
            </w:tcBorders>
            <w:vAlign w:val="bottom"/>
          </w:tcPr>
          <w:p w14:paraId="0EEAB287"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c>
          <w:tcPr>
            <w:tcW w:w="1552" w:type="dxa"/>
            <w:tcBorders>
              <w:top w:val="nil"/>
              <w:left w:val="nil"/>
              <w:bottom w:val="double" w:sz="6" w:space="2" w:color="auto"/>
              <w:right w:val="nil"/>
            </w:tcBorders>
            <w:vAlign w:val="bottom"/>
          </w:tcPr>
          <w:p w14:paraId="5CCF9F7C"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c>
          <w:tcPr>
            <w:tcW w:w="1553" w:type="dxa"/>
            <w:tcBorders>
              <w:top w:val="nil"/>
              <w:left w:val="nil"/>
              <w:bottom w:val="double" w:sz="6" w:space="2" w:color="auto"/>
              <w:right w:val="nil"/>
            </w:tcBorders>
            <w:vAlign w:val="bottom"/>
          </w:tcPr>
          <w:p w14:paraId="24264BF7"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c>
          <w:tcPr>
            <w:tcW w:w="1282" w:type="dxa"/>
            <w:tcBorders>
              <w:top w:val="nil"/>
              <w:left w:val="nil"/>
              <w:bottom w:val="double" w:sz="6" w:space="2" w:color="auto"/>
              <w:right w:val="nil"/>
            </w:tcBorders>
            <w:vAlign w:val="bottom"/>
          </w:tcPr>
          <w:p w14:paraId="6C3CF621"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r>
      <w:tr w:rsidR="009209FD" w:rsidRPr="00212DDD" w14:paraId="2662281C" w14:textId="77777777" w:rsidTr="009209FD">
        <w:trPr>
          <w:trHeight w:hRule="exact" w:val="133"/>
        </w:trPr>
        <w:tc>
          <w:tcPr>
            <w:tcW w:w="2594" w:type="dxa"/>
            <w:tcBorders>
              <w:top w:val="nil"/>
              <w:left w:val="nil"/>
              <w:bottom w:val="nil"/>
              <w:right w:val="nil"/>
            </w:tcBorders>
            <w:vAlign w:val="bottom"/>
          </w:tcPr>
          <w:p w14:paraId="1FBB93AC"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c>
          <w:tcPr>
            <w:tcW w:w="1418" w:type="dxa"/>
            <w:tcBorders>
              <w:top w:val="nil"/>
              <w:left w:val="nil"/>
              <w:bottom w:val="nil"/>
              <w:right w:val="nil"/>
            </w:tcBorders>
            <w:vAlign w:val="bottom"/>
          </w:tcPr>
          <w:p w14:paraId="7A1D0260"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c>
          <w:tcPr>
            <w:tcW w:w="1552" w:type="dxa"/>
            <w:tcBorders>
              <w:top w:val="nil"/>
              <w:left w:val="nil"/>
              <w:bottom w:val="nil"/>
              <w:right w:val="nil"/>
            </w:tcBorders>
            <w:vAlign w:val="bottom"/>
          </w:tcPr>
          <w:p w14:paraId="45F1155C"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c>
          <w:tcPr>
            <w:tcW w:w="1553" w:type="dxa"/>
            <w:tcBorders>
              <w:top w:val="nil"/>
              <w:left w:val="nil"/>
              <w:bottom w:val="nil"/>
              <w:right w:val="nil"/>
            </w:tcBorders>
            <w:vAlign w:val="bottom"/>
          </w:tcPr>
          <w:p w14:paraId="4CCD4742"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c>
          <w:tcPr>
            <w:tcW w:w="1282" w:type="dxa"/>
            <w:tcBorders>
              <w:top w:val="nil"/>
              <w:left w:val="nil"/>
              <w:bottom w:val="nil"/>
              <w:right w:val="nil"/>
            </w:tcBorders>
            <w:vAlign w:val="bottom"/>
          </w:tcPr>
          <w:p w14:paraId="7A338AD6"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r>
      <w:tr w:rsidR="009209FD" w:rsidRPr="00212DDD" w14:paraId="5BF06561" w14:textId="77777777" w:rsidTr="009209FD">
        <w:trPr>
          <w:trHeight w:val="222"/>
        </w:trPr>
        <w:tc>
          <w:tcPr>
            <w:tcW w:w="2594" w:type="dxa"/>
            <w:tcBorders>
              <w:top w:val="nil"/>
              <w:left w:val="nil"/>
              <w:bottom w:val="nil"/>
              <w:right w:val="nil"/>
            </w:tcBorders>
            <w:vAlign w:val="bottom"/>
          </w:tcPr>
          <w:p w14:paraId="1EA97119"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CPIALEVEL</w:t>
            </w:r>
          </w:p>
        </w:tc>
        <w:tc>
          <w:tcPr>
            <w:tcW w:w="1418" w:type="dxa"/>
            <w:tcBorders>
              <w:top w:val="nil"/>
              <w:left w:val="nil"/>
              <w:bottom w:val="nil"/>
              <w:right w:val="nil"/>
            </w:tcBorders>
            <w:vAlign w:val="bottom"/>
          </w:tcPr>
          <w:p w14:paraId="65648507" w14:textId="27FBFB05"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41.467</w:t>
            </w:r>
          </w:p>
        </w:tc>
        <w:tc>
          <w:tcPr>
            <w:tcW w:w="1552" w:type="dxa"/>
            <w:tcBorders>
              <w:top w:val="nil"/>
              <w:left w:val="nil"/>
              <w:bottom w:val="nil"/>
              <w:right w:val="nil"/>
            </w:tcBorders>
            <w:vAlign w:val="bottom"/>
          </w:tcPr>
          <w:p w14:paraId="5C50392E" w14:textId="192B895A"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21.918</w:t>
            </w:r>
          </w:p>
        </w:tc>
        <w:tc>
          <w:tcPr>
            <w:tcW w:w="1553" w:type="dxa"/>
            <w:tcBorders>
              <w:top w:val="nil"/>
              <w:left w:val="nil"/>
              <w:bottom w:val="nil"/>
              <w:right w:val="nil"/>
            </w:tcBorders>
            <w:vAlign w:val="bottom"/>
          </w:tcPr>
          <w:p w14:paraId="0CAE792C" w14:textId="77777777"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25.554629</w:t>
            </w:r>
          </w:p>
        </w:tc>
        <w:tc>
          <w:tcPr>
            <w:tcW w:w="1282" w:type="dxa"/>
            <w:tcBorders>
              <w:top w:val="nil"/>
              <w:left w:val="nil"/>
              <w:bottom w:val="nil"/>
              <w:right w:val="nil"/>
            </w:tcBorders>
            <w:vAlign w:val="bottom"/>
          </w:tcPr>
          <w:p w14:paraId="1C6B5033" w14:textId="77777777"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0.0001</w:t>
            </w:r>
          </w:p>
        </w:tc>
      </w:tr>
      <w:tr w:rsidR="009209FD" w:rsidRPr="00212DDD" w14:paraId="7B7CBAEF" w14:textId="77777777" w:rsidTr="009209FD">
        <w:trPr>
          <w:trHeight w:val="222"/>
        </w:trPr>
        <w:tc>
          <w:tcPr>
            <w:tcW w:w="2594" w:type="dxa"/>
            <w:tcBorders>
              <w:top w:val="nil"/>
              <w:left w:val="nil"/>
              <w:bottom w:val="nil"/>
              <w:right w:val="nil"/>
            </w:tcBorders>
            <w:vAlign w:val="bottom"/>
          </w:tcPr>
          <w:p w14:paraId="306E2490"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DEM</w:t>
            </w:r>
          </w:p>
        </w:tc>
        <w:tc>
          <w:tcPr>
            <w:tcW w:w="1418" w:type="dxa"/>
            <w:tcBorders>
              <w:top w:val="nil"/>
              <w:left w:val="nil"/>
              <w:bottom w:val="nil"/>
              <w:right w:val="nil"/>
            </w:tcBorders>
            <w:vAlign w:val="bottom"/>
          </w:tcPr>
          <w:p w14:paraId="0C7D787D" w14:textId="4AAD03BA"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852.915</w:t>
            </w:r>
          </w:p>
        </w:tc>
        <w:tc>
          <w:tcPr>
            <w:tcW w:w="1552" w:type="dxa"/>
            <w:tcBorders>
              <w:top w:val="nil"/>
              <w:left w:val="nil"/>
              <w:bottom w:val="nil"/>
              <w:right w:val="nil"/>
            </w:tcBorders>
            <w:vAlign w:val="bottom"/>
          </w:tcPr>
          <w:p w14:paraId="44841486" w14:textId="43FB2DBE"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1008.936</w:t>
            </w:r>
          </w:p>
        </w:tc>
        <w:tc>
          <w:tcPr>
            <w:tcW w:w="1553" w:type="dxa"/>
            <w:tcBorders>
              <w:top w:val="nil"/>
              <w:left w:val="nil"/>
              <w:bottom w:val="nil"/>
              <w:right w:val="nil"/>
            </w:tcBorders>
            <w:vAlign w:val="bottom"/>
          </w:tcPr>
          <w:p w14:paraId="1A142C9A" w14:textId="77777777"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15475.713043</w:t>
            </w:r>
          </w:p>
        </w:tc>
        <w:tc>
          <w:tcPr>
            <w:tcW w:w="1282" w:type="dxa"/>
            <w:tcBorders>
              <w:top w:val="nil"/>
              <w:left w:val="nil"/>
              <w:bottom w:val="nil"/>
              <w:right w:val="nil"/>
            </w:tcBorders>
            <w:vAlign w:val="bottom"/>
          </w:tcPr>
          <w:p w14:paraId="12FFD435" w14:textId="77777777"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0.2098</w:t>
            </w:r>
          </w:p>
        </w:tc>
      </w:tr>
      <w:tr w:rsidR="009209FD" w:rsidRPr="00212DDD" w14:paraId="0FDDFF9E" w14:textId="77777777" w:rsidTr="009209FD">
        <w:trPr>
          <w:trHeight w:val="222"/>
        </w:trPr>
        <w:tc>
          <w:tcPr>
            <w:tcW w:w="2594" w:type="dxa"/>
            <w:tcBorders>
              <w:top w:val="nil"/>
              <w:left w:val="nil"/>
              <w:bottom w:val="nil"/>
              <w:right w:val="nil"/>
            </w:tcBorders>
            <w:vAlign w:val="bottom"/>
          </w:tcPr>
          <w:p w14:paraId="7B1C602D"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EDB</w:t>
            </w:r>
          </w:p>
        </w:tc>
        <w:tc>
          <w:tcPr>
            <w:tcW w:w="1418" w:type="dxa"/>
            <w:tcBorders>
              <w:top w:val="nil"/>
              <w:left w:val="nil"/>
              <w:bottom w:val="nil"/>
              <w:right w:val="nil"/>
            </w:tcBorders>
            <w:vAlign w:val="bottom"/>
          </w:tcPr>
          <w:p w14:paraId="0AA29A35" w14:textId="1A78936B"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4.796</w:t>
            </w:r>
          </w:p>
        </w:tc>
        <w:tc>
          <w:tcPr>
            <w:tcW w:w="1552" w:type="dxa"/>
            <w:tcBorders>
              <w:top w:val="nil"/>
              <w:left w:val="nil"/>
              <w:bottom w:val="nil"/>
              <w:right w:val="nil"/>
            </w:tcBorders>
            <w:vAlign w:val="bottom"/>
          </w:tcPr>
          <w:p w14:paraId="1B02A079" w14:textId="26EA766A"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5.042</w:t>
            </w:r>
          </w:p>
        </w:tc>
        <w:tc>
          <w:tcPr>
            <w:tcW w:w="1553" w:type="dxa"/>
            <w:tcBorders>
              <w:top w:val="nil"/>
              <w:left w:val="nil"/>
              <w:bottom w:val="nil"/>
              <w:right w:val="nil"/>
            </w:tcBorders>
            <w:vAlign w:val="bottom"/>
          </w:tcPr>
          <w:p w14:paraId="4ED304CB" w14:textId="77777777"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0.073683</w:t>
            </w:r>
          </w:p>
        </w:tc>
        <w:tc>
          <w:tcPr>
            <w:tcW w:w="1282" w:type="dxa"/>
            <w:tcBorders>
              <w:top w:val="nil"/>
              <w:left w:val="nil"/>
              <w:bottom w:val="nil"/>
              <w:right w:val="nil"/>
            </w:tcBorders>
            <w:vAlign w:val="bottom"/>
          </w:tcPr>
          <w:p w14:paraId="106BBA7D" w14:textId="77777777"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0.3646</w:t>
            </w:r>
          </w:p>
        </w:tc>
      </w:tr>
      <w:tr w:rsidR="009209FD" w:rsidRPr="00212DDD" w14:paraId="350E35AE" w14:textId="77777777" w:rsidTr="009209FD">
        <w:trPr>
          <w:trHeight w:val="222"/>
        </w:trPr>
        <w:tc>
          <w:tcPr>
            <w:tcW w:w="2594" w:type="dxa"/>
            <w:tcBorders>
              <w:top w:val="nil"/>
              <w:left w:val="nil"/>
              <w:bottom w:val="nil"/>
              <w:right w:val="nil"/>
            </w:tcBorders>
            <w:vAlign w:val="bottom"/>
          </w:tcPr>
          <w:p w14:paraId="52A3F856"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FDI</w:t>
            </w:r>
          </w:p>
        </w:tc>
        <w:tc>
          <w:tcPr>
            <w:tcW w:w="1418" w:type="dxa"/>
            <w:tcBorders>
              <w:top w:val="nil"/>
              <w:left w:val="nil"/>
              <w:bottom w:val="nil"/>
              <w:right w:val="nil"/>
            </w:tcBorders>
            <w:vAlign w:val="bottom"/>
          </w:tcPr>
          <w:p w14:paraId="777ACDF6" w14:textId="3F34195F"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5.726</w:t>
            </w:r>
          </w:p>
        </w:tc>
        <w:tc>
          <w:tcPr>
            <w:tcW w:w="1552" w:type="dxa"/>
            <w:tcBorders>
              <w:top w:val="nil"/>
              <w:left w:val="nil"/>
              <w:bottom w:val="nil"/>
              <w:right w:val="nil"/>
            </w:tcBorders>
            <w:vAlign w:val="bottom"/>
          </w:tcPr>
          <w:p w14:paraId="3D3C4496" w14:textId="63188A38"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5.478</w:t>
            </w:r>
          </w:p>
        </w:tc>
        <w:tc>
          <w:tcPr>
            <w:tcW w:w="1553" w:type="dxa"/>
            <w:tcBorders>
              <w:top w:val="nil"/>
              <w:left w:val="nil"/>
              <w:bottom w:val="nil"/>
              <w:right w:val="nil"/>
            </w:tcBorders>
            <w:vAlign w:val="bottom"/>
          </w:tcPr>
          <w:p w14:paraId="4C200FD3" w14:textId="77777777"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0.100675</w:t>
            </w:r>
          </w:p>
        </w:tc>
        <w:tc>
          <w:tcPr>
            <w:tcW w:w="1282" w:type="dxa"/>
            <w:tcBorders>
              <w:top w:val="nil"/>
              <w:left w:val="nil"/>
              <w:bottom w:val="nil"/>
              <w:right w:val="nil"/>
            </w:tcBorders>
            <w:vAlign w:val="bottom"/>
          </w:tcPr>
          <w:p w14:paraId="050BE99F" w14:textId="77777777"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0.4341</w:t>
            </w:r>
          </w:p>
        </w:tc>
      </w:tr>
      <w:tr w:rsidR="009209FD" w:rsidRPr="00212DDD" w14:paraId="7BA137C1" w14:textId="77777777" w:rsidTr="009209FD">
        <w:trPr>
          <w:trHeight w:val="222"/>
        </w:trPr>
        <w:tc>
          <w:tcPr>
            <w:tcW w:w="2594" w:type="dxa"/>
            <w:tcBorders>
              <w:top w:val="nil"/>
              <w:left w:val="nil"/>
              <w:bottom w:val="nil"/>
              <w:right w:val="nil"/>
            </w:tcBorders>
            <w:vAlign w:val="bottom"/>
          </w:tcPr>
          <w:p w14:paraId="7D2E2189" w14:textId="4CFE8D55"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REN</w:t>
            </w:r>
          </w:p>
        </w:tc>
        <w:tc>
          <w:tcPr>
            <w:tcW w:w="1418" w:type="dxa"/>
            <w:tcBorders>
              <w:top w:val="nil"/>
              <w:left w:val="nil"/>
              <w:bottom w:val="nil"/>
              <w:right w:val="nil"/>
            </w:tcBorders>
            <w:vAlign w:val="bottom"/>
          </w:tcPr>
          <w:p w14:paraId="6DC96FFD" w14:textId="36230A11"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13.364</w:t>
            </w:r>
          </w:p>
        </w:tc>
        <w:tc>
          <w:tcPr>
            <w:tcW w:w="1552" w:type="dxa"/>
            <w:tcBorders>
              <w:top w:val="nil"/>
              <w:left w:val="nil"/>
              <w:bottom w:val="nil"/>
              <w:right w:val="nil"/>
            </w:tcBorders>
            <w:vAlign w:val="bottom"/>
          </w:tcPr>
          <w:p w14:paraId="63DA3A6A" w14:textId="04EB447D"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9.466</w:t>
            </w:r>
          </w:p>
        </w:tc>
        <w:tc>
          <w:tcPr>
            <w:tcW w:w="1553" w:type="dxa"/>
            <w:tcBorders>
              <w:top w:val="nil"/>
              <w:left w:val="nil"/>
              <w:bottom w:val="nil"/>
              <w:right w:val="nil"/>
            </w:tcBorders>
            <w:vAlign w:val="bottom"/>
          </w:tcPr>
          <w:p w14:paraId="45FFD7F0" w14:textId="77777777"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0.361677</w:t>
            </w:r>
          </w:p>
        </w:tc>
        <w:tc>
          <w:tcPr>
            <w:tcW w:w="1282" w:type="dxa"/>
            <w:tcBorders>
              <w:top w:val="nil"/>
              <w:left w:val="nil"/>
              <w:bottom w:val="nil"/>
              <w:right w:val="nil"/>
            </w:tcBorders>
            <w:vAlign w:val="bottom"/>
          </w:tcPr>
          <w:p w14:paraId="030BED74" w14:textId="77777777"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0.0000</w:t>
            </w:r>
          </w:p>
        </w:tc>
      </w:tr>
      <w:tr w:rsidR="009209FD" w:rsidRPr="00212DDD" w14:paraId="6BF847A2" w14:textId="77777777" w:rsidTr="009209FD">
        <w:trPr>
          <w:trHeight w:val="222"/>
        </w:trPr>
        <w:tc>
          <w:tcPr>
            <w:tcW w:w="2594" w:type="dxa"/>
            <w:tcBorders>
              <w:top w:val="nil"/>
              <w:left w:val="nil"/>
              <w:bottom w:val="nil"/>
              <w:right w:val="nil"/>
            </w:tcBorders>
            <w:vAlign w:val="bottom"/>
          </w:tcPr>
          <w:p w14:paraId="72E4E54B" w14:textId="5C80D94F"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TMP</w:t>
            </w:r>
          </w:p>
        </w:tc>
        <w:tc>
          <w:tcPr>
            <w:tcW w:w="1418" w:type="dxa"/>
            <w:tcBorders>
              <w:top w:val="nil"/>
              <w:left w:val="nil"/>
              <w:bottom w:val="nil"/>
              <w:right w:val="nil"/>
            </w:tcBorders>
            <w:vAlign w:val="bottom"/>
          </w:tcPr>
          <w:p w14:paraId="523D5A84" w14:textId="0C2D8E59"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47.942</w:t>
            </w:r>
          </w:p>
        </w:tc>
        <w:tc>
          <w:tcPr>
            <w:tcW w:w="1552" w:type="dxa"/>
            <w:tcBorders>
              <w:top w:val="nil"/>
              <w:left w:val="nil"/>
              <w:bottom w:val="nil"/>
              <w:right w:val="nil"/>
            </w:tcBorders>
            <w:vAlign w:val="bottom"/>
          </w:tcPr>
          <w:p w14:paraId="16C665ED" w14:textId="7AACA9E4"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27.216</w:t>
            </w:r>
          </w:p>
        </w:tc>
        <w:tc>
          <w:tcPr>
            <w:tcW w:w="1553" w:type="dxa"/>
            <w:tcBorders>
              <w:top w:val="nil"/>
              <w:left w:val="nil"/>
              <w:bottom w:val="nil"/>
              <w:right w:val="nil"/>
            </w:tcBorders>
            <w:vAlign w:val="bottom"/>
          </w:tcPr>
          <w:p w14:paraId="5441051F" w14:textId="77777777"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2266.290428</w:t>
            </w:r>
          </w:p>
        </w:tc>
        <w:tc>
          <w:tcPr>
            <w:tcW w:w="1282" w:type="dxa"/>
            <w:tcBorders>
              <w:top w:val="nil"/>
              <w:left w:val="nil"/>
              <w:bottom w:val="nil"/>
              <w:right w:val="nil"/>
            </w:tcBorders>
            <w:vAlign w:val="bottom"/>
          </w:tcPr>
          <w:p w14:paraId="5D6E4FCD" w14:textId="77777777" w:rsidR="009209FD" w:rsidRPr="00212DDD" w:rsidRDefault="009209FD" w:rsidP="00212DDD">
            <w:pPr>
              <w:autoSpaceDE w:val="0"/>
              <w:autoSpaceDN w:val="0"/>
              <w:adjustRightInd w:val="0"/>
              <w:spacing w:line="240" w:lineRule="auto"/>
              <w:ind w:right="10"/>
              <w:jc w:val="both"/>
              <w:rPr>
                <w:rFonts w:ascii="Times New Roman" w:hAnsi="Times New Roman" w:cs="Times New Roman"/>
                <w:color w:val="000000"/>
                <w:sz w:val="24"/>
                <w:szCs w:val="24"/>
              </w:rPr>
            </w:pPr>
            <w:r w:rsidRPr="00212DDD">
              <w:rPr>
                <w:rFonts w:ascii="Times New Roman" w:hAnsi="Times New Roman" w:cs="Times New Roman"/>
                <w:color w:val="000000"/>
                <w:sz w:val="24"/>
                <w:szCs w:val="24"/>
              </w:rPr>
              <w:t>0.6633</w:t>
            </w:r>
          </w:p>
        </w:tc>
      </w:tr>
      <w:tr w:rsidR="009209FD" w:rsidRPr="00212DDD" w14:paraId="2016E938" w14:textId="77777777" w:rsidTr="009209FD">
        <w:trPr>
          <w:trHeight w:hRule="exact" w:val="89"/>
        </w:trPr>
        <w:tc>
          <w:tcPr>
            <w:tcW w:w="2594" w:type="dxa"/>
            <w:tcBorders>
              <w:top w:val="nil"/>
              <w:left w:val="nil"/>
              <w:bottom w:val="double" w:sz="6" w:space="2" w:color="auto"/>
              <w:right w:val="nil"/>
            </w:tcBorders>
            <w:vAlign w:val="bottom"/>
          </w:tcPr>
          <w:p w14:paraId="2EE0FBBA"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c>
          <w:tcPr>
            <w:tcW w:w="1418" w:type="dxa"/>
            <w:tcBorders>
              <w:top w:val="nil"/>
              <w:left w:val="nil"/>
              <w:bottom w:val="double" w:sz="6" w:space="2" w:color="auto"/>
              <w:right w:val="nil"/>
            </w:tcBorders>
            <w:vAlign w:val="bottom"/>
          </w:tcPr>
          <w:p w14:paraId="0825DB60"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c>
          <w:tcPr>
            <w:tcW w:w="1552" w:type="dxa"/>
            <w:tcBorders>
              <w:top w:val="nil"/>
              <w:left w:val="nil"/>
              <w:bottom w:val="double" w:sz="6" w:space="2" w:color="auto"/>
              <w:right w:val="nil"/>
            </w:tcBorders>
            <w:vAlign w:val="bottom"/>
          </w:tcPr>
          <w:p w14:paraId="2F5DAC52"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c>
          <w:tcPr>
            <w:tcW w:w="1553" w:type="dxa"/>
            <w:tcBorders>
              <w:top w:val="nil"/>
              <w:left w:val="nil"/>
              <w:bottom w:val="double" w:sz="6" w:space="2" w:color="auto"/>
              <w:right w:val="nil"/>
            </w:tcBorders>
            <w:vAlign w:val="bottom"/>
          </w:tcPr>
          <w:p w14:paraId="37A89357"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c>
          <w:tcPr>
            <w:tcW w:w="1282" w:type="dxa"/>
            <w:tcBorders>
              <w:top w:val="nil"/>
              <w:left w:val="nil"/>
              <w:bottom w:val="double" w:sz="6" w:space="2" w:color="auto"/>
              <w:right w:val="nil"/>
            </w:tcBorders>
            <w:vAlign w:val="bottom"/>
          </w:tcPr>
          <w:p w14:paraId="59294A5E"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r>
      <w:tr w:rsidR="009209FD" w:rsidRPr="00212DDD" w14:paraId="183CC9D6" w14:textId="77777777" w:rsidTr="009209FD">
        <w:trPr>
          <w:trHeight w:hRule="exact" w:val="133"/>
        </w:trPr>
        <w:tc>
          <w:tcPr>
            <w:tcW w:w="2594" w:type="dxa"/>
            <w:tcBorders>
              <w:top w:val="nil"/>
              <w:left w:val="nil"/>
              <w:bottom w:val="nil"/>
              <w:right w:val="nil"/>
            </w:tcBorders>
            <w:vAlign w:val="bottom"/>
          </w:tcPr>
          <w:p w14:paraId="29FDC07E"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c>
          <w:tcPr>
            <w:tcW w:w="1418" w:type="dxa"/>
            <w:tcBorders>
              <w:top w:val="nil"/>
              <w:left w:val="nil"/>
              <w:bottom w:val="nil"/>
              <w:right w:val="nil"/>
            </w:tcBorders>
            <w:vAlign w:val="bottom"/>
          </w:tcPr>
          <w:p w14:paraId="06CE6FA1"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c>
          <w:tcPr>
            <w:tcW w:w="1552" w:type="dxa"/>
            <w:tcBorders>
              <w:top w:val="nil"/>
              <w:left w:val="nil"/>
              <w:bottom w:val="nil"/>
              <w:right w:val="nil"/>
            </w:tcBorders>
            <w:vAlign w:val="bottom"/>
          </w:tcPr>
          <w:p w14:paraId="389D1C66"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c>
          <w:tcPr>
            <w:tcW w:w="1553" w:type="dxa"/>
            <w:tcBorders>
              <w:top w:val="nil"/>
              <w:left w:val="nil"/>
              <w:bottom w:val="nil"/>
              <w:right w:val="nil"/>
            </w:tcBorders>
            <w:vAlign w:val="bottom"/>
          </w:tcPr>
          <w:p w14:paraId="7E5755A2"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c>
          <w:tcPr>
            <w:tcW w:w="1282" w:type="dxa"/>
            <w:tcBorders>
              <w:top w:val="nil"/>
              <w:left w:val="nil"/>
              <w:bottom w:val="nil"/>
              <w:right w:val="nil"/>
            </w:tcBorders>
            <w:vAlign w:val="bottom"/>
          </w:tcPr>
          <w:p w14:paraId="777D2D39" w14:textId="77777777" w:rsidR="009209FD" w:rsidRPr="00212DDD" w:rsidRDefault="009209FD" w:rsidP="00212DDD">
            <w:pPr>
              <w:autoSpaceDE w:val="0"/>
              <w:autoSpaceDN w:val="0"/>
              <w:adjustRightInd w:val="0"/>
              <w:spacing w:line="240" w:lineRule="auto"/>
              <w:jc w:val="both"/>
              <w:rPr>
                <w:rFonts w:ascii="Times New Roman" w:hAnsi="Times New Roman" w:cs="Times New Roman"/>
                <w:color w:val="000000"/>
                <w:sz w:val="24"/>
                <w:szCs w:val="24"/>
              </w:rPr>
            </w:pPr>
          </w:p>
        </w:tc>
      </w:tr>
    </w:tbl>
    <w:p w14:paraId="76ECDCF5" w14:textId="661F46C7" w:rsidR="009209FD" w:rsidRPr="00212DDD" w:rsidRDefault="009209FD" w:rsidP="00212DDD">
      <w:pPr>
        <w:jc w:val="both"/>
        <w:rPr>
          <w:rFonts w:ascii="Times New Roman" w:eastAsia="Roboto" w:hAnsi="Times New Roman" w:cs="Times New Roman"/>
          <w:color w:val="374151"/>
          <w:sz w:val="24"/>
          <w:szCs w:val="24"/>
        </w:rPr>
      </w:pPr>
      <w:r w:rsidRPr="00212DDD">
        <w:rPr>
          <w:rFonts w:ascii="Times New Roman" w:hAnsi="Times New Roman" w:cs="Times New Roman"/>
          <w:sz w:val="24"/>
          <w:szCs w:val="24"/>
        </w:rPr>
        <w:t xml:space="preserve">Source: </w:t>
      </w:r>
      <w:proofErr w:type="spellStart"/>
      <w:r w:rsidRPr="00212DDD">
        <w:rPr>
          <w:rFonts w:ascii="Times New Roman" w:hAnsi="Times New Roman" w:cs="Times New Roman"/>
          <w:sz w:val="24"/>
          <w:szCs w:val="24"/>
        </w:rPr>
        <w:t>Eviews</w:t>
      </w:r>
      <w:proofErr w:type="spellEnd"/>
      <w:r w:rsidRPr="00212DDD">
        <w:rPr>
          <w:rFonts w:ascii="Times New Roman" w:hAnsi="Times New Roman" w:cs="Times New Roman"/>
          <w:sz w:val="24"/>
          <w:szCs w:val="24"/>
        </w:rPr>
        <w:t xml:space="preserve"> Output and Authors' Computation, 2024.</w:t>
      </w:r>
      <w:r w:rsidR="00A4250A" w:rsidRPr="00212DDD">
        <w:rPr>
          <w:rFonts w:ascii="Times New Roman" w:eastAsia="Roboto" w:hAnsi="Times New Roman" w:cs="Times New Roman"/>
          <w:color w:val="374151"/>
          <w:sz w:val="24"/>
          <w:szCs w:val="24"/>
        </w:rPr>
        <w:t xml:space="preserve"> </w:t>
      </w:r>
    </w:p>
    <w:p w14:paraId="04CD90E7" w14:textId="77777777" w:rsidR="009209FD" w:rsidRPr="00212DDD" w:rsidRDefault="009209FD" w:rsidP="00212DDD">
      <w:pPr>
        <w:jc w:val="both"/>
        <w:rPr>
          <w:rFonts w:ascii="Times New Roman" w:eastAsia="Roboto" w:hAnsi="Times New Roman" w:cs="Times New Roman"/>
          <w:color w:val="374151"/>
          <w:sz w:val="24"/>
          <w:szCs w:val="24"/>
        </w:rPr>
      </w:pPr>
    </w:p>
    <w:p w14:paraId="3C62E869" w14:textId="77777777" w:rsidR="00A4250A" w:rsidRPr="00EA52C7" w:rsidRDefault="00A4250A" w:rsidP="00EA52C7">
      <w:pPr>
        <w:jc w:val="both"/>
        <w:rPr>
          <w:rFonts w:ascii="Times New Roman" w:hAnsi="Times New Roman" w:cs="Times New Roman"/>
          <w:sz w:val="24"/>
          <w:szCs w:val="24"/>
        </w:rPr>
      </w:pPr>
      <w:r w:rsidRPr="00EA52C7">
        <w:rPr>
          <w:rFonts w:ascii="Times New Roman" w:hAnsi="Times New Roman" w:cs="Times New Roman"/>
          <w:sz w:val="24"/>
          <w:szCs w:val="24"/>
        </w:rPr>
        <w:t>The panel regression results presented in Table 4.6 offer valuable insights into the relationships between various economic indicators and food security (FSK) across different regions of Africa. The fixed effects model allows for the examination of within-group variations and provides region-specific coefficients for each explanatory variable.</w:t>
      </w:r>
    </w:p>
    <w:p w14:paraId="397AD19F" w14:textId="77777777" w:rsidR="00A4250A" w:rsidRPr="00EA52C7" w:rsidRDefault="00A4250A" w:rsidP="00EA52C7">
      <w:pPr>
        <w:jc w:val="both"/>
        <w:rPr>
          <w:rFonts w:ascii="Times New Roman" w:hAnsi="Times New Roman" w:cs="Times New Roman"/>
          <w:sz w:val="14"/>
          <w:szCs w:val="24"/>
        </w:rPr>
      </w:pPr>
    </w:p>
    <w:p w14:paraId="1984C011" w14:textId="77777777" w:rsidR="00A4250A" w:rsidRPr="00EA52C7" w:rsidRDefault="00A4250A" w:rsidP="00EA52C7">
      <w:pPr>
        <w:jc w:val="both"/>
        <w:rPr>
          <w:rFonts w:ascii="Times New Roman" w:hAnsi="Times New Roman" w:cs="Times New Roman"/>
          <w:sz w:val="24"/>
          <w:szCs w:val="24"/>
        </w:rPr>
      </w:pPr>
      <w:r w:rsidRPr="00EA52C7">
        <w:rPr>
          <w:rFonts w:ascii="Times New Roman" w:hAnsi="Times New Roman" w:cs="Times New Roman"/>
          <w:sz w:val="24"/>
          <w:szCs w:val="24"/>
        </w:rPr>
        <w:t>In Africa as a whole, higher CPIA scores are associated with increased food security, as indicated by the positive coefficient of 41.467. This suggests that improved transparency and accountability in governance positively impact food supply.</w:t>
      </w:r>
    </w:p>
    <w:p w14:paraId="14C91D8D" w14:textId="77777777" w:rsidR="00A4250A" w:rsidRPr="00EA52C7" w:rsidRDefault="00A4250A" w:rsidP="00EA52C7">
      <w:pPr>
        <w:jc w:val="both"/>
        <w:rPr>
          <w:rFonts w:ascii="Times New Roman" w:hAnsi="Times New Roman" w:cs="Times New Roman"/>
          <w:sz w:val="24"/>
          <w:szCs w:val="24"/>
        </w:rPr>
      </w:pPr>
      <w:r w:rsidRPr="00EA52C7">
        <w:rPr>
          <w:rFonts w:ascii="Times New Roman" w:hAnsi="Times New Roman" w:cs="Times New Roman"/>
          <w:sz w:val="24"/>
          <w:szCs w:val="24"/>
        </w:rPr>
        <w:t>However, in North Africa, the coefficient of -131.988 suggests an inverse relationship between CPIA scores and food security. This could reflect specific challenges or dynamics within North African countries regarding governance and food security.</w:t>
      </w:r>
    </w:p>
    <w:p w14:paraId="746AB2C4" w14:textId="77777777" w:rsidR="00A4250A" w:rsidRPr="00EA52C7" w:rsidRDefault="00A4250A" w:rsidP="00EA52C7">
      <w:pPr>
        <w:jc w:val="both"/>
        <w:rPr>
          <w:rFonts w:ascii="Times New Roman" w:hAnsi="Times New Roman" w:cs="Times New Roman"/>
          <w:sz w:val="24"/>
          <w:szCs w:val="24"/>
        </w:rPr>
      </w:pPr>
      <w:r w:rsidRPr="00EA52C7">
        <w:rPr>
          <w:rFonts w:ascii="Times New Roman" w:hAnsi="Times New Roman" w:cs="Times New Roman"/>
          <w:sz w:val="24"/>
          <w:szCs w:val="24"/>
        </w:rPr>
        <w:t>Across Africa, higher levels of electoral democracy correspond to increased food security, supported by the positive coefficient of 852.915. Democratic governance structures may facilitate better resource allocation and policy implementation, positively affecting food supply.</w:t>
      </w:r>
    </w:p>
    <w:p w14:paraId="3C58FA45" w14:textId="77777777" w:rsidR="00A4250A" w:rsidRPr="00EA52C7" w:rsidRDefault="00A4250A" w:rsidP="00EA52C7">
      <w:pPr>
        <w:jc w:val="both"/>
        <w:rPr>
          <w:rFonts w:ascii="Times New Roman" w:hAnsi="Times New Roman" w:cs="Times New Roman"/>
          <w:sz w:val="24"/>
          <w:szCs w:val="24"/>
        </w:rPr>
      </w:pPr>
      <w:r w:rsidRPr="00EA52C7">
        <w:rPr>
          <w:rFonts w:ascii="Times New Roman" w:hAnsi="Times New Roman" w:cs="Times New Roman"/>
          <w:sz w:val="24"/>
          <w:szCs w:val="24"/>
        </w:rPr>
        <w:t>Notably, East Africa exhibits a particularly strong positive relationship between electoral democracy and food security, with a coefficient of 784.667.</w:t>
      </w:r>
    </w:p>
    <w:p w14:paraId="080ACB91" w14:textId="4D929FA7" w:rsidR="00A4250A" w:rsidRPr="00EA52C7" w:rsidRDefault="00A4250A" w:rsidP="00EA52C7">
      <w:pPr>
        <w:jc w:val="both"/>
        <w:rPr>
          <w:rFonts w:ascii="Times New Roman" w:hAnsi="Times New Roman" w:cs="Times New Roman"/>
          <w:sz w:val="24"/>
          <w:szCs w:val="24"/>
        </w:rPr>
      </w:pPr>
      <w:r w:rsidRPr="00EA52C7">
        <w:rPr>
          <w:rFonts w:ascii="Times New Roman" w:hAnsi="Times New Roman" w:cs="Times New Roman"/>
          <w:sz w:val="24"/>
          <w:szCs w:val="24"/>
        </w:rPr>
        <w:t xml:space="preserve">Positive coefficients across most regions indicate that improvements in the ease of doing business generally coincide with enhanced food security. For instance, in West Africa, a positive coefficient of 5.298 suggests a </w:t>
      </w:r>
      <w:r w:rsidR="00B75AF0" w:rsidRPr="00EA52C7">
        <w:rPr>
          <w:rFonts w:ascii="Times New Roman" w:hAnsi="Times New Roman" w:cs="Times New Roman"/>
          <w:sz w:val="24"/>
          <w:szCs w:val="24"/>
        </w:rPr>
        <w:t>favourable</w:t>
      </w:r>
      <w:r w:rsidRPr="00EA52C7">
        <w:rPr>
          <w:rFonts w:ascii="Times New Roman" w:hAnsi="Times New Roman" w:cs="Times New Roman"/>
          <w:sz w:val="24"/>
          <w:szCs w:val="24"/>
        </w:rPr>
        <w:t xml:space="preserve"> impact of business-friendly policies on food supply.</w:t>
      </w:r>
    </w:p>
    <w:p w14:paraId="21303459" w14:textId="77777777" w:rsidR="00A4250A" w:rsidRPr="00EA52C7" w:rsidRDefault="00A4250A" w:rsidP="00EA52C7">
      <w:pPr>
        <w:jc w:val="both"/>
        <w:rPr>
          <w:rFonts w:ascii="Times New Roman" w:hAnsi="Times New Roman" w:cs="Times New Roman"/>
          <w:sz w:val="24"/>
          <w:szCs w:val="24"/>
        </w:rPr>
      </w:pPr>
      <w:r w:rsidRPr="00EA52C7">
        <w:rPr>
          <w:rFonts w:ascii="Times New Roman" w:hAnsi="Times New Roman" w:cs="Times New Roman"/>
          <w:sz w:val="24"/>
          <w:szCs w:val="24"/>
        </w:rPr>
        <w:t>Notably, Central Africa demonstrates a weaker relationship between ease of doing business and food security, with a coefficient of 3.311.</w:t>
      </w:r>
    </w:p>
    <w:p w14:paraId="6727A8D3" w14:textId="77777777" w:rsidR="00A4250A" w:rsidRPr="00EA52C7" w:rsidRDefault="00A4250A" w:rsidP="00EA52C7">
      <w:pPr>
        <w:jc w:val="both"/>
        <w:rPr>
          <w:rFonts w:ascii="Times New Roman" w:hAnsi="Times New Roman" w:cs="Times New Roman"/>
          <w:sz w:val="24"/>
          <w:szCs w:val="24"/>
        </w:rPr>
      </w:pPr>
      <w:r w:rsidRPr="00EA52C7">
        <w:rPr>
          <w:rFonts w:ascii="Times New Roman" w:hAnsi="Times New Roman" w:cs="Times New Roman"/>
          <w:sz w:val="24"/>
          <w:szCs w:val="24"/>
        </w:rPr>
        <w:t>In Africa overall, higher levels of foreign direct investment are associated with improved food security, as indicated by the positive coefficient of 4.796. Foreign investment inflows may contribute to economic development and infrastructure improvements, positively impacting food supply.</w:t>
      </w:r>
    </w:p>
    <w:p w14:paraId="6933C339" w14:textId="2D238F19" w:rsidR="00A4250A" w:rsidRPr="00EA52C7" w:rsidRDefault="00A4250A" w:rsidP="00EA52C7">
      <w:pPr>
        <w:jc w:val="both"/>
        <w:rPr>
          <w:rFonts w:ascii="Times New Roman" w:hAnsi="Times New Roman" w:cs="Times New Roman"/>
          <w:sz w:val="24"/>
          <w:szCs w:val="24"/>
        </w:rPr>
      </w:pPr>
      <w:r w:rsidRPr="00EA52C7">
        <w:rPr>
          <w:rFonts w:ascii="Times New Roman" w:hAnsi="Times New Roman" w:cs="Times New Roman"/>
          <w:sz w:val="24"/>
          <w:szCs w:val="24"/>
        </w:rPr>
        <w:t>However, the negative coefficient in North Africa suggests a potential discrepancy in the relationship between FDI and food security within this region. Across all regions, higher percentages of electricity generated from renewable sources are positively associated with food security. Southern Africa, with a coefficient of 22.716, exhibits the strongest relationship between renewable energy integration and food supply.</w:t>
      </w:r>
    </w:p>
    <w:p w14:paraId="17AB356D" w14:textId="77777777" w:rsidR="00A4250A" w:rsidRPr="00EA52C7" w:rsidRDefault="00A4250A" w:rsidP="00EA52C7">
      <w:pPr>
        <w:jc w:val="both"/>
        <w:rPr>
          <w:rFonts w:ascii="Times New Roman" w:hAnsi="Times New Roman" w:cs="Times New Roman"/>
          <w:sz w:val="24"/>
          <w:szCs w:val="24"/>
        </w:rPr>
      </w:pPr>
      <w:r w:rsidRPr="00EA52C7">
        <w:rPr>
          <w:rFonts w:ascii="Times New Roman" w:hAnsi="Times New Roman" w:cs="Times New Roman"/>
          <w:sz w:val="24"/>
          <w:szCs w:val="24"/>
        </w:rPr>
        <w:t>While temperature change does not show consistent significant effects on food security across regions, East Africa exhibits a positive relationship, with a coefficient of 143.118. This suggests that climatic variations may play a more significant role in food security dynamics in this region.</w:t>
      </w:r>
    </w:p>
    <w:p w14:paraId="246DF0EC" w14:textId="77777777" w:rsidR="009209FD" w:rsidRPr="00212DDD" w:rsidRDefault="009209FD" w:rsidP="00212DDD">
      <w:pPr>
        <w:jc w:val="both"/>
        <w:rPr>
          <w:rFonts w:ascii="Times New Roman" w:eastAsia="Roboto" w:hAnsi="Times New Roman" w:cs="Times New Roman"/>
          <w:color w:val="374151"/>
          <w:sz w:val="24"/>
          <w:szCs w:val="24"/>
        </w:rPr>
      </w:pPr>
    </w:p>
    <w:p w14:paraId="3422364E" w14:textId="1AED14B0" w:rsidR="00032A23" w:rsidRPr="00EA52C7" w:rsidRDefault="00032A23" w:rsidP="00EA52C7">
      <w:pPr>
        <w:pStyle w:val="ListParagraph"/>
        <w:numPr>
          <w:ilvl w:val="0"/>
          <w:numId w:val="7"/>
        </w:numPr>
        <w:jc w:val="both"/>
        <w:rPr>
          <w:rFonts w:ascii="Times New Roman" w:hAnsi="Times New Roman" w:cs="Times New Roman"/>
          <w:b/>
          <w:sz w:val="24"/>
          <w:szCs w:val="24"/>
        </w:rPr>
      </w:pPr>
      <w:r w:rsidRPr="00EA52C7">
        <w:rPr>
          <w:rFonts w:ascii="Times New Roman" w:hAnsi="Times New Roman" w:cs="Times New Roman"/>
          <w:b/>
          <w:sz w:val="24"/>
          <w:szCs w:val="24"/>
        </w:rPr>
        <w:t>Summary and conclusion</w:t>
      </w:r>
    </w:p>
    <w:p w14:paraId="1E2DED79" w14:textId="212E2131" w:rsidR="00032A23" w:rsidRPr="00212DDD" w:rsidRDefault="00032A23" w:rsidP="00212DDD">
      <w:pPr>
        <w:pStyle w:val="ListParagraph"/>
        <w:jc w:val="both"/>
        <w:rPr>
          <w:rFonts w:ascii="Times New Roman" w:hAnsi="Times New Roman" w:cs="Times New Roman"/>
          <w:sz w:val="24"/>
          <w:szCs w:val="24"/>
        </w:rPr>
      </w:pPr>
      <w:r w:rsidRPr="00212DDD">
        <w:rPr>
          <w:rFonts w:ascii="Times New Roman" w:hAnsi="Times New Roman" w:cs="Times New Roman"/>
          <w:sz w:val="24"/>
          <w:szCs w:val="24"/>
        </w:rPr>
        <w:t>The study discovered that:</w:t>
      </w:r>
    </w:p>
    <w:p w14:paraId="2BD31015" w14:textId="402EE8DE" w:rsidR="00032A23" w:rsidRPr="00EA52C7" w:rsidRDefault="00032A23" w:rsidP="00EA52C7">
      <w:pPr>
        <w:pStyle w:val="ListParagraph"/>
        <w:numPr>
          <w:ilvl w:val="0"/>
          <w:numId w:val="8"/>
        </w:numPr>
        <w:rPr>
          <w:rFonts w:ascii="Times New Roman" w:hAnsi="Times New Roman" w:cs="Times New Roman"/>
          <w:sz w:val="24"/>
          <w:szCs w:val="24"/>
        </w:rPr>
      </w:pPr>
      <w:r w:rsidRPr="00EA52C7">
        <w:rPr>
          <w:rFonts w:ascii="Times New Roman" w:hAnsi="Times New Roman" w:cs="Times New Roman"/>
          <w:sz w:val="24"/>
          <w:szCs w:val="24"/>
        </w:rPr>
        <w:t>Higher transparency and accountability, as indicated by CPIA scores, generally correspond to increased food security across Africa.</w:t>
      </w:r>
    </w:p>
    <w:p w14:paraId="5B1CCD85" w14:textId="62A87373" w:rsidR="00032A23" w:rsidRPr="00EA52C7" w:rsidRDefault="00032A23" w:rsidP="00EA52C7">
      <w:pPr>
        <w:pStyle w:val="ListParagraph"/>
        <w:numPr>
          <w:ilvl w:val="0"/>
          <w:numId w:val="8"/>
        </w:numPr>
        <w:rPr>
          <w:rFonts w:ascii="Times New Roman" w:hAnsi="Times New Roman" w:cs="Times New Roman"/>
          <w:sz w:val="24"/>
          <w:szCs w:val="24"/>
        </w:rPr>
      </w:pPr>
      <w:r w:rsidRPr="00EA52C7">
        <w:rPr>
          <w:rFonts w:ascii="Times New Roman" w:hAnsi="Times New Roman" w:cs="Times New Roman"/>
          <w:sz w:val="24"/>
          <w:szCs w:val="24"/>
        </w:rPr>
        <w:t>Stronger electoral democracy is positively associated with improved food security, particularly notable in East Africa.</w:t>
      </w:r>
    </w:p>
    <w:p w14:paraId="7B0543A0" w14:textId="3197D98B" w:rsidR="00032A23" w:rsidRPr="00EA52C7" w:rsidRDefault="00032A23" w:rsidP="00EA52C7">
      <w:pPr>
        <w:pStyle w:val="ListParagraph"/>
        <w:numPr>
          <w:ilvl w:val="0"/>
          <w:numId w:val="8"/>
        </w:numPr>
        <w:rPr>
          <w:rFonts w:ascii="Times New Roman" w:hAnsi="Times New Roman" w:cs="Times New Roman"/>
          <w:sz w:val="24"/>
          <w:szCs w:val="24"/>
        </w:rPr>
      </w:pPr>
      <w:r w:rsidRPr="00EA52C7">
        <w:rPr>
          <w:rFonts w:ascii="Times New Roman" w:hAnsi="Times New Roman" w:cs="Times New Roman"/>
          <w:sz w:val="24"/>
          <w:szCs w:val="24"/>
        </w:rPr>
        <w:t>Improvements in the ease of doing business tend to positively impact food security, although the relationship varies across regions.</w:t>
      </w:r>
    </w:p>
    <w:p w14:paraId="140048F0" w14:textId="2981752D" w:rsidR="00032A23" w:rsidRPr="00EA52C7" w:rsidRDefault="00032A23" w:rsidP="00EA52C7">
      <w:pPr>
        <w:pStyle w:val="ListParagraph"/>
        <w:numPr>
          <w:ilvl w:val="0"/>
          <w:numId w:val="8"/>
        </w:numPr>
        <w:rPr>
          <w:rFonts w:ascii="Times New Roman" w:hAnsi="Times New Roman" w:cs="Times New Roman"/>
          <w:sz w:val="24"/>
          <w:szCs w:val="24"/>
        </w:rPr>
      </w:pPr>
      <w:r w:rsidRPr="00EA52C7">
        <w:rPr>
          <w:rFonts w:ascii="Times New Roman" w:hAnsi="Times New Roman" w:cs="Times New Roman"/>
          <w:sz w:val="24"/>
          <w:szCs w:val="24"/>
        </w:rPr>
        <w:t>Increased FDI levels generally coincide with enhanced food security, except for some discrepancies observed in North Africa.</w:t>
      </w:r>
    </w:p>
    <w:p w14:paraId="69FAE3BF" w14:textId="6679045B" w:rsidR="00032A23" w:rsidRPr="00EA52C7" w:rsidRDefault="00032A23" w:rsidP="00EA52C7">
      <w:pPr>
        <w:pStyle w:val="ListParagraph"/>
        <w:numPr>
          <w:ilvl w:val="0"/>
          <w:numId w:val="8"/>
        </w:numPr>
        <w:rPr>
          <w:rFonts w:ascii="Times New Roman" w:hAnsi="Times New Roman" w:cs="Times New Roman"/>
          <w:sz w:val="24"/>
          <w:szCs w:val="24"/>
        </w:rPr>
      </w:pPr>
      <w:r w:rsidRPr="00EA52C7">
        <w:rPr>
          <w:rFonts w:ascii="Times New Roman" w:hAnsi="Times New Roman" w:cs="Times New Roman"/>
          <w:sz w:val="24"/>
          <w:szCs w:val="24"/>
        </w:rPr>
        <w:t>Higher percentages of electricity generated from renewable sources are positively associated with food security, with Southern Africa showing the strongest relationship.</w:t>
      </w:r>
    </w:p>
    <w:p w14:paraId="297EB076" w14:textId="4BA8FC10" w:rsidR="00032A23" w:rsidRPr="00EA52C7" w:rsidRDefault="00032A23" w:rsidP="00EA52C7">
      <w:pPr>
        <w:pStyle w:val="ListParagraph"/>
        <w:numPr>
          <w:ilvl w:val="0"/>
          <w:numId w:val="8"/>
        </w:numPr>
        <w:rPr>
          <w:rFonts w:ascii="Times New Roman" w:hAnsi="Times New Roman" w:cs="Times New Roman"/>
          <w:sz w:val="24"/>
          <w:szCs w:val="24"/>
        </w:rPr>
      </w:pPr>
      <w:r w:rsidRPr="00EA52C7">
        <w:rPr>
          <w:rFonts w:ascii="Times New Roman" w:hAnsi="Times New Roman" w:cs="Times New Roman"/>
          <w:sz w:val="24"/>
          <w:szCs w:val="24"/>
        </w:rPr>
        <w:t>While temperature change does not consistently impact food security across regions, East Africa stands out with a positive relationship between temperature variations and food supply.</w:t>
      </w:r>
    </w:p>
    <w:p w14:paraId="679E6F7A" w14:textId="77777777" w:rsidR="00212DDD" w:rsidRPr="00EA52C7" w:rsidRDefault="00212DDD" w:rsidP="00EA52C7">
      <w:pPr>
        <w:jc w:val="both"/>
        <w:rPr>
          <w:rFonts w:ascii="Times New Roman" w:hAnsi="Times New Roman" w:cs="Times New Roman"/>
          <w:sz w:val="24"/>
          <w:szCs w:val="24"/>
        </w:rPr>
      </w:pPr>
      <w:r w:rsidRPr="00EA52C7">
        <w:rPr>
          <w:rFonts w:ascii="Times New Roman" w:hAnsi="Times New Roman" w:cs="Times New Roman"/>
          <w:sz w:val="24"/>
          <w:szCs w:val="24"/>
        </w:rPr>
        <w:t>Improving transparency and accountability in governance can enhance public trust and confidence in government institutions. It can lead to more effective allocation of resources towards agricultural development programs, better management of food distribution networks, and reduced corruption in the food supply chain.</w:t>
      </w:r>
    </w:p>
    <w:p w14:paraId="4427989A" w14:textId="0A2621C1" w:rsidR="00212DDD" w:rsidRPr="00EA52C7" w:rsidRDefault="00212DDD" w:rsidP="00EA52C7">
      <w:pPr>
        <w:jc w:val="both"/>
        <w:rPr>
          <w:rFonts w:ascii="Times New Roman" w:hAnsi="Times New Roman" w:cs="Times New Roman"/>
          <w:sz w:val="24"/>
          <w:szCs w:val="24"/>
        </w:rPr>
      </w:pPr>
      <w:r w:rsidRPr="00EA52C7">
        <w:rPr>
          <w:rFonts w:ascii="Times New Roman" w:hAnsi="Times New Roman" w:cs="Times New Roman"/>
          <w:sz w:val="24"/>
          <w:szCs w:val="24"/>
        </w:rPr>
        <w:t>However, solely relying on transparency and governance reforms may not be sufficient to address systemic issues contributing to food insecurity. Structural challenges such as inadequate infrastructure, limited access to markets, and unequal distribution of resources also need to be addressed.</w:t>
      </w:r>
    </w:p>
    <w:p w14:paraId="1345BD50" w14:textId="4B59D069" w:rsidR="00212DDD" w:rsidRPr="00EA52C7" w:rsidRDefault="00212DDD" w:rsidP="00EA52C7">
      <w:pPr>
        <w:jc w:val="both"/>
        <w:rPr>
          <w:rFonts w:ascii="Times New Roman" w:hAnsi="Times New Roman" w:cs="Times New Roman"/>
          <w:sz w:val="24"/>
          <w:szCs w:val="24"/>
        </w:rPr>
      </w:pPr>
      <w:r w:rsidRPr="00EA52C7">
        <w:rPr>
          <w:rFonts w:ascii="Times New Roman" w:hAnsi="Times New Roman" w:cs="Times New Roman"/>
          <w:sz w:val="24"/>
          <w:szCs w:val="24"/>
        </w:rPr>
        <w:t xml:space="preserve"> Strengthening electoral democracy can promote citizen participation and representation, fostering inclusive decision-making processes that prioritize food security initiatives. Democratic institutions can facilitate the implementation of policies that address the needs of vulnerable populations and promote sustainable agriculture practices.</w:t>
      </w:r>
    </w:p>
    <w:p w14:paraId="757C61C7" w14:textId="4F9D16C6" w:rsidR="00212DDD" w:rsidRPr="00EA52C7" w:rsidRDefault="00212DDD" w:rsidP="00EA52C7">
      <w:pPr>
        <w:jc w:val="both"/>
        <w:rPr>
          <w:rFonts w:ascii="Times New Roman" w:hAnsi="Times New Roman" w:cs="Times New Roman"/>
          <w:sz w:val="24"/>
          <w:szCs w:val="24"/>
        </w:rPr>
      </w:pPr>
      <w:r w:rsidRPr="00EA52C7">
        <w:rPr>
          <w:rFonts w:ascii="Times New Roman" w:hAnsi="Times New Roman" w:cs="Times New Roman"/>
          <w:sz w:val="24"/>
          <w:szCs w:val="24"/>
        </w:rPr>
        <w:t>Overreliance on electoral democracy alone may overlook the importance of strong institutions and policy continuity. Political instability and frequent changes in leadership may disrupt long-term strategies aimed at improving food security, leading to inconsistency and inefficiency in policy implementation.</w:t>
      </w:r>
    </w:p>
    <w:p w14:paraId="3FC00694" w14:textId="77777777" w:rsidR="00212DDD" w:rsidRPr="007A20E2" w:rsidRDefault="00212DDD" w:rsidP="00EA52C7">
      <w:pPr>
        <w:jc w:val="both"/>
        <w:rPr>
          <w:rFonts w:ascii="Times New Roman" w:hAnsi="Times New Roman" w:cs="Times New Roman"/>
          <w:sz w:val="12"/>
          <w:szCs w:val="24"/>
        </w:rPr>
      </w:pPr>
    </w:p>
    <w:p w14:paraId="77174199" w14:textId="5DEE214B" w:rsidR="00212DDD" w:rsidRPr="00EA52C7" w:rsidRDefault="00212DDD" w:rsidP="00EA52C7">
      <w:pPr>
        <w:jc w:val="both"/>
        <w:rPr>
          <w:rFonts w:ascii="Times New Roman" w:hAnsi="Times New Roman" w:cs="Times New Roman"/>
          <w:sz w:val="24"/>
          <w:szCs w:val="24"/>
        </w:rPr>
      </w:pPr>
      <w:r w:rsidRPr="00EA52C7">
        <w:rPr>
          <w:rFonts w:ascii="Times New Roman" w:hAnsi="Times New Roman" w:cs="Times New Roman"/>
          <w:sz w:val="24"/>
          <w:szCs w:val="24"/>
        </w:rPr>
        <w:t>Improving the ease of doing business can attract investment, stimulate economic growth, and create employment opportunities, all of which are essential for enhancing food security. Streamlining bureaucratic processes and reducing regulatory burdens can encourage entrepreneurship and innovation in the agricultural sector.</w:t>
      </w:r>
    </w:p>
    <w:p w14:paraId="523C78F3" w14:textId="6212E69E" w:rsidR="00212DDD" w:rsidRPr="00EA52C7" w:rsidRDefault="00212DDD" w:rsidP="00EA52C7">
      <w:pPr>
        <w:jc w:val="both"/>
        <w:rPr>
          <w:rFonts w:ascii="Times New Roman" w:hAnsi="Times New Roman" w:cs="Times New Roman"/>
          <w:sz w:val="24"/>
          <w:szCs w:val="24"/>
        </w:rPr>
      </w:pPr>
      <w:proofErr w:type="gramStart"/>
      <w:r w:rsidRPr="00EA52C7">
        <w:rPr>
          <w:rFonts w:ascii="Times New Roman" w:hAnsi="Times New Roman" w:cs="Times New Roman"/>
          <w:sz w:val="24"/>
          <w:szCs w:val="24"/>
        </w:rPr>
        <w:t>Prioritizing ease of doing business reforms without adequate safeguards may exacerbate inequalities and marginalize small-scale farmers and rural communities.</w:t>
      </w:r>
      <w:proofErr w:type="gramEnd"/>
      <w:r w:rsidRPr="00EA52C7">
        <w:rPr>
          <w:rFonts w:ascii="Times New Roman" w:hAnsi="Times New Roman" w:cs="Times New Roman"/>
          <w:sz w:val="24"/>
          <w:szCs w:val="24"/>
        </w:rPr>
        <w:t xml:space="preserve"> Policies that primarily benefit large corporations or foreign investors may neglect the needs of smallholders and fail to address structural barriers to agricultural productivity.</w:t>
      </w:r>
    </w:p>
    <w:p w14:paraId="74F8F18B" w14:textId="77777777" w:rsidR="00212DDD" w:rsidRPr="007A20E2" w:rsidRDefault="00212DDD" w:rsidP="00EA52C7">
      <w:pPr>
        <w:jc w:val="both"/>
        <w:rPr>
          <w:rFonts w:ascii="Times New Roman" w:hAnsi="Times New Roman" w:cs="Times New Roman"/>
          <w:sz w:val="8"/>
          <w:szCs w:val="24"/>
        </w:rPr>
      </w:pPr>
    </w:p>
    <w:p w14:paraId="6AC7D328" w14:textId="2B3CAC6B" w:rsidR="00212DDD" w:rsidRPr="00EA52C7" w:rsidRDefault="00212DDD" w:rsidP="00EA52C7">
      <w:pPr>
        <w:jc w:val="both"/>
        <w:rPr>
          <w:rFonts w:ascii="Times New Roman" w:hAnsi="Times New Roman" w:cs="Times New Roman"/>
          <w:sz w:val="24"/>
          <w:szCs w:val="24"/>
        </w:rPr>
      </w:pPr>
      <w:r w:rsidRPr="00EA52C7">
        <w:rPr>
          <w:rFonts w:ascii="Times New Roman" w:hAnsi="Times New Roman" w:cs="Times New Roman"/>
          <w:sz w:val="24"/>
          <w:szCs w:val="24"/>
        </w:rPr>
        <w:t xml:space="preserve"> Increased FDI can bring in capital, technology, and expertise needed to modernize agricultural practices, improve infrastructure, and expand market access. Strategic partnerships with foreign investors can promote knowledge transfer and innovation, contributing to sustainable agricultural development.</w:t>
      </w:r>
    </w:p>
    <w:p w14:paraId="0EFC922E" w14:textId="51AF5651" w:rsidR="00212DDD" w:rsidRPr="00EA52C7" w:rsidRDefault="00212DDD" w:rsidP="00EA52C7">
      <w:pPr>
        <w:jc w:val="both"/>
        <w:rPr>
          <w:rFonts w:ascii="Times New Roman" w:hAnsi="Times New Roman" w:cs="Times New Roman"/>
          <w:sz w:val="24"/>
          <w:szCs w:val="24"/>
        </w:rPr>
      </w:pPr>
      <w:r w:rsidRPr="00EA52C7">
        <w:rPr>
          <w:rFonts w:ascii="Times New Roman" w:hAnsi="Times New Roman" w:cs="Times New Roman"/>
          <w:sz w:val="24"/>
          <w:szCs w:val="24"/>
        </w:rPr>
        <w:t xml:space="preserve">However, the pursuit of FDI-driven growth strategies may prioritize profit motives over social and environmental considerations. There is a risk of land grabbing, environmental </w:t>
      </w:r>
      <w:proofErr w:type="gramStart"/>
      <w:r w:rsidRPr="00EA52C7">
        <w:rPr>
          <w:rFonts w:ascii="Times New Roman" w:hAnsi="Times New Roman" w:cs="Times New Roman"/>
          <w:sz w:val="24"/>
          <w:szCs w:val="24"/>
        </w:rPr>
        <w:t>degradation,</w:t>
      </w:r>
      <w:proofErr w:type="gramEnd"/>
      <w:r w:rsidRPr="00EA52C7">
        <w:rPr>
          <w:rFonts w:ascii="Times New Roman" w:hAnsi="Times New Roman" w:cs="Times New Roman"/>
          <w:sz w:val="24"/>
          <w:szCs w:val="24"/>
        </w:rPr>
        <w:t xml:space="preserve"> and displacement of local communities if FDI projects are not carefully regulated and aligned with national development priorities.</w:t>
      </w:r>
    </w:p>
    <w:p w14:paraId="0A80B0BA" w14:textId="77777777" w:rsidR="00212DDD" w:rsidRPr="007A20E2" w:rsidRDefault="00212DDD" w:rsidP="00EA52C7">
      <w:pPr>
        <w:jc w:val="both"/>
        <w:rPr>
          <w:rFonts w:ascii="Times New Roman" w:hAnsi="Times New Roman" w:cs="Times New Roman"/>
          <w:sz w:val="8"/>
          <w:szCs w:val="24"/>
        </w:rPr>
      </w:pPr>
    </w:p>
    <w:p w14:paraId="0FBD935A" w14:textId="2F3B05FA" w:rsidR="00212DDD" w:rsidRPr="00EA52C7" w:rsidRDefault="00212DDD" w:rsidP="00EA52C7">
      <w:pPr>
        <w:jc w:val="both"/>
        <w:rPr>
          <w:rFonts w:ascii="Times New Roman" w:hAnsi="Times New Roman" w:cs="Times New Roman"/>
          <w:sz w:val="24"/>
          <w:szCs w:val="24"/>
        </w:rPr>
      </w:pPr>
      <w:r w:rsidRPr="00EA52C7">
        <w:rPr>
          <w:rFonts w:ascii="Times New Roman" w:hAnsi="Times New Roman" w:cs="Times New Roman"/>
          <w:sz w:val="24"/>
          <w:szCs w:val="24"/>
        </w:rPr>
        <w:t>Investing in renewable energy infrastructure can reduce reliance on fossil fuels, mitigate climate change impacts, and enhance energy security, which is critical for supporting agricultural activities. Renewable energy technologies such as solar-powered irrigation systems can increase productivity and resilience in the face of climate variability.</w:t>
      </w:r>
    </w:p>
    <w:p w14:paraId="76CAADDF" w14:textId="066116B9" w:rsidR="00212DDD" w:rsidRPr="00EA52C7" w:rsidRDefault="00212DDD" w:rsidP="00EA52C7">
      <w:pPr>
        <w:jc w:val="both"/>
        <w:rPr>
          <w:rFonts w:ascii="Times New Roman" w:hAnsi="Times New Roman" w:cs="Times New Roman"/>
          <w:sz w:val="24"/>
          <w:szCs w:val="24"/>
        </w:rPr>
      </w:pPr>
      <w:r w:rsidRPr="00EA52C7">
        <w:rPr>
          <w:rFonts w:ascii="Times New Roman" w:hAnsi="Times New Roman" w:cs="Times New Roman"/>
          <w:sz w:val="24"/>
          <w:szCs w:val="24"/>
        </w:rPr>
        <w:t>While renewable energy integration is desirable, the transition may face implementation challenges such as high upfront costs, technological limitations, and insufficient investment incentives. Uneven access to renewable energy resources and inadequate grid infrastructure may exacerbate disparities between urban and rural areas.</w:t>
      </w:r>
    </w:p>
    <w:p w14:paraId="587D3D78" w14:textId="77777777" w:rsidR="00212DDD" w:rsidRPr="007A20E2" w:rsidRDefault="00212DDD" w:rsidP="00EA52C7">
      <w:pPr>
        <w:jc w:val="both"/>
        <w:rPr>
          <w:rFonts w:ascii="Times New Roman" w:hAnsi="Times New Roman" w:cs="Times New Roman"/>
          <w:sz w:val="12"/>
          <w:szCs w:val="24"/>
        </w:rPr>
      </w:pPr>
    </w:p>
    <w:p w14:paraId="7ED65CC4" w14:textId="2DA00B33" w:rsidR="00212DDD" w:rsidRPr="00EA52C7" w:rsidRDefault="00212DDD" w:rsidP="00EA52C7">
      <w:pPr>
        <w:jc w:val="both"/>
        <w:rPr>
          <w:rFonts w:ascii="Times New Roman" w:hAnsi="Times New Roman" w:cs="Times New Roman"/>
          <w:sz w:val="24"/>
          <w:szCs w:val="24"/>
        </w:rPr>
      </w:pPr>
      <w:r w:rsidRPr="00EA52C7">
        <w:rPr>
          <w:rFonts w:ascii="Times New Roman" w:hAnsi="Times New Roman" w:cs="Times New Roman"/>
          <w:sz w:val="24"/>
          <w:szCs w:val="24"/>
        </w:rPr>
        <w:t xml:space="preserve"> Acknowledging the impact of temperature change on food security can inform adaptive strategies and resilience-building efforts. Investing in climate-smart agriculture practices, crop diversification, and early warning systems can help mitigate the adverse effects of temperature fluctuations on agricultural productivity.</w:t>
      </w:r>
    </w:p>
    <w:p w14:paraId="28C05930" w14:textId="6FDA787E" w:rsidR="009209FD" w:rsidRPr="00EA52C7" w:rsidRDefault="00212DDD" w:rsidP="00EA52C7">
      <w:pPr>
        <w:jc w:val="both"/>
        <w:rPr>
          <w:rFonts w:ascii="Times New Roman" w:hAnsi="Times New Roman" w:cs="Times New Roman"/>
          <w:sz w:val="24"/>
          <w:szCs w:val="24"/>
        </w:rPr>
      </w:pPr>
      <w:r w:rsidRPr="00EA52C7">
        <w:rPr>
          <w:rFonts w:ascii="Times New Roman" w:hAnsi="Times New Roman" w:cs="Times New Roman"/>
          <w:sz w:val="24"/>
          <w:szCs w:val="24"/>
        </w:rPr>
        <w:t>However, relying solely on adaptive measures may not address the root causes of temperature change, which are primarily driven by global factors such as greenhouse gas emissions. Effective climate action requires international cooperation, policy coordination, and concerted efforts to reduce emissions and limit global warming.</w:t>
      </w:r>
    </w:p>
    <w:p w14:paraId="762A5CE7" w14:textId="77777777" w:rsidR="009209FD" w:rsidRDefault="009209FD" w:rsidP="00EA52C7">
      <w:pPr>
        <w:jc w:val="both"/>
        <w:rPr>
          <w:rFonts w:ascii="Times New Roman" w:hAnsi="Times New Roman" w:cs="Times New Roman"/>
          <w:sz w:val="24"/>
          <w:szCs w:val="24"/>
        </w:rPr>
      </w:pPr>
    </w:p>
    <w:p w14:paraId="26C0B95C" w14:textId="77777777" w:rsidR="000E675B" w:rsidRDefault="000E675B" w:rsidP="00EA52C7">
      <w:pPr>
        <w:jc w:val="both"/>
        <w:rPr>
          <w:rFonts w:ascii="Times New Roman" w:hAnsi="Times New Roman" w:cs="Times New Roman"/>
          <w:sz w:val="24"/>
          <w:szCs w:val="24"/>
        </w:rPr>
      </w:pPr>
    </w:p>
    <w:p w14:paraId="4A93CC92" w14:textId="77777777" w:rsidR="000E675B" w:rsidRPr="00EA52C7" w:rsidRDefault="000E675B" w:rsidP="00EA52C7">
      <w:pPr>
        <w:jc w:val="both"/>
        <w:rPr>
          <w:rFonts w:ascii="Times New Roman" w:hAnsi="Times New Roman" w:cs="Times New Roman"/>
          <w:sz w:val="24"/>
          <w:szCs w:val="24"/>
        </w:rPr>
      </w:pPr>
    </w:p>
    <w:p w14:paraId="523AFB49" w14:textId="6E37B3C1" w:rsidR="009209FD" w:rsidRPr="007A20E2" w:rsidRDefault="00212DDD" w:rsidP="00212DDD">
      <w:pPr>
        <w:jc w:val="both"/>
        <w:rPr>
          <w:rFonts w:ascii="Times New Roman" w:eastAsia="Roboto" w:hAnsi="Times New Roman" w:cs="Times New Roman"/>
          <w:b/>
          <w:color w:val="374151"/>
          <w:sz w:val="24"/>
          <w:szCs w:val="24"/>
        </w:rPr>
      </w:pPr>
      <w:r w:rsidRPr="007A20E2">
        <w:rPr>
          <w:rFonts w:ascii="Times New Roman" w:hAnsi="Times New Roman" w:cs="Times New Roman"/>
          <w:b/>
          <w:sz w:val="24"/>
          <w:szCs w:val="24"/>
        </w:rPr>
        <w:t>5.1. Recommendations</w:t>
      </w:r>
    </w:p>
    <w:p w14:paraId="3FC45891" w14:textId="77777777" w:rsidR="00212DDD" w:rsidRPr="00820D84" w:rsidRDefault="00212DDD" w:rsidP="00820D84">
      <w:pPr>
        <w:rPr>
          <w:rFonts w:ascii="Times New Roman" w:hAnsi="Times New Roman" w:cs="Times New Roman"/>
          <w:sz w:val="24"/>
          <w:szCs w:val="24"/>
        </w:rPr>
      </w:pPr>
      <w:r w:rsidRPr="00820D84">
        <w:rPr>
          <w:rFonts w:ascii="Times New Roman" w:hAnsi="Times New Roman" w:cs="Times New Roman"/>
          <w:sz w:val="24"/>
          <w:szCs w:val="24"/>
        </w:rPr>
        <w:t>Based on the findings from the regression analysis and their critical implications, several recommendations emerge for policymakers in addressing food security challenges across Africa:</w:t>
      </w:r>
    </w:p>
    <w:p w14:paraId="6A8685C5" w14:textId="77777777" w:rsidR="00212DDD" w:rsidRPr="00212DDD" w:rsidRDefault="00212DDD" w:rsidP="00212DDD">
      <w:pPr>
        <w:jc w:val="both"/>
        <w:rPr>
          <w:rFonts w:ascii="Times New Roman" w:eastAsia="Roboto" w:hAnsi="Times New Roman" w:cs="Times New Roman"/>
          <w:color w:val="374151"/>
          <w:sz w:val="24"/>
          <w:szCs w:val="24"/>
        </w:rPr>
      </w:pPr>
    </w:p>
    <w:p w14:paraId="45C6C144" w14:textId="77777777" w:rsidR="00212DDD" w:rsidRPr="007A20E2" w:rsidRDefault="00212DDD" w:rsidP="007A20E2">
      <w:pPr>
        <w:pStyle w:val="ListParagraph"/>
        <w:numPr>
          <w:ilvl w:val="0"/>
          <w:numId w:val="9"/>
        </w:numPr>
        <w:jc w:val="both"/>
        <w:rPr>
          <w:rFonts w:ascii="Times New Roman" w:hAnsi="Times New Roman" w:cs="Times New Roman"/>
          <w:sz w:val="24"/>
          <w:szCs w:val="24"/>
        </w:rPr>
      </w:pPr>
      <w:r w:rsidRPr="007A20E2">
        <w:rPr>
          <w:rFonts w:ascii="Times New Roman" w:hAnsi="Times New Roman" w:cs="Times New Roman"/>
          <w:sz w:val="24"/>
          <w:szCs w:val="24"/>
        </w:rPr>
        <w:t>Enhance Governance and Transparency: Strengthen efforts to improve transparency, accountability, and governance structures within countries. Implement measures to combat corruption in the food supply chain, enhance public trust in government institutions, and ensure equitable distribution of resources for agricultural development.</w:t>
      </w:r>
    </w:p>
    <w:p w14:paraId="74F11A5A" w14:textId="77777777" w:rsidR="00212DDD" w:rsidRPr="007A20E2" w:rsidRDefault="00212DDD" w:rsidP="007A20E2">
      <w:pPr>
        <w:jc w:val="both"/>
        <w:rPr>
          <w:rFonts w:ascii="Times New Roman" w:hAnsi="Times New Roman" w:cs="Times New Roman"/>
          <w:sz w:val="24"/>
          <w:szCs w:val="24"/>
        </w:rPr>
      </w:pPr>
    </w:p>
    <w:p w14:paraId="608CE7ED" w14:textId="77777777" w:rsidR="00212DDD" w:rsidRPr="007A20E2" w:rsidRDefault="00212DDD" w:rsidP="007A20E2">
      <w:pPr>
        <w:pStyle w:val="ListParagraph"/>
        <w:numPr>
          <w:ilvl w:val="0"/>
          <w:numId w:val="9"/>
        </w:numPr>
        <w:jc w:val="both"/>
        <w:rPr>
          <w:rFonts w:ascii="Times New Roman" w:hAnsi="Times New Roman" w:cs="Times New Roman"/>
          <w:sz w:val="24"/>
          <w:szCs w:val="24"/>
        </w:rPr>
      </w:pPr>
      <w:r w:rsidRPr="007A20E2">
        <w:rPr>
          <w:rFonts w:ascii="Times New Roman" w:hAnsi="Times New Roman" w:cs="Times New Roman"/>
          <w:sz w:val="24"/>
          <w:szCs w:val="24"/>
        </w:rPr>
        <w:t>Promote Democratic Institutions: Foster inclusive democratic processes that prioritize the needs of vulnerable populations and promote sustainable agricultural policies. Engage stakeholders in participatory decision-making processes to ensure that food security initiatives reflect the diverse needs and perspectives of local communities.</w:t>
      </w:r>
    </w:p>
    <w:p w14:paraId="18AA6B42" w14:textId="77777777" w:rsidR="00212DDD" w:rsidRPr="007A20E2" w:rsidRDefault="00212DDD" w:rsidP="007A20E2">
      <w:pPr>
        <w:jc w:val="both"/>
        <w:rPr>
          <w:rFonts w:ascii="Times New Roman" w:hAnsi="Times New Roman" w:cs="Times New Roman"/>
          <w:sz w:val="24"/>
          <w:szCs w:val="24"/>
        </w:rPr>
      </w:pPr>
    </w:p>
    <w:p w14:paraId="5CE175A0" w14:textId="77777777" w:rsidR="00212DDD" w:rsidRPr="007A20E2" w:rsidRDefault="00212DDD" w:rsidP="007A20E2">
      <w:pPr>
        <w:pStyle w:val="ListParagraph"/>
        <w:numPr>
          <w:ilvl w:val="0"/>
          <w:numId w:val="9"/>
        </w:numPr>
        <w:jc w:val="both"/>
        <w:rPr>
          <w:rFonts w:ascii="Times New Roman" w:hAnsi="Times New Roman" w:cs="Times New Roman"/>
          <w:sz w:val="24"/>
          <w:szCs w:val="24"/>
        </w:rPr>
      </w:pPr>
      <w:r w:rsidRPr="007A20E2">
        <w:rPr>
          <w:rFonts w:ascii="Times New Roman" w:hAnsi="Times New Roman" w:cs="Times New Roman"/>
          <w:sz w:val="24"/>
          <w:szCs w:val="24"/>
        </w:rPr>
        <w:t>Streamline Business Regulations: Implement reforms to improve the ease of doing business, particularly in the agricultural sector. Simplify bureaucratic processes, reduce regulatory burdens, and provide support mechanisms for small-scale farmers and rural entrepreneurs to access markets, finance, and technology.</w:t>
      </w:r>
    </w:p>
    <w:p w14:paraId="506A733C" w14:textId="77777777" w:rsidR="00212DDD" w:rsidRPr="007A20E2" w:rsidRDefault="00212DDD" w:rsidP="007A20E2">
      <w:pPr>
        <w:jc w:val="both"/>
        <w:rPr>
          <w:rFonts w:ascii="Times New Roman" w:hAnsi="Times New Roman" w:cs="Times New Roman"/>
          <w:sz w:val="24"/>
          <w:szCs w:val="24"/>
        </w:rPr>
      </w:pPr>
    </w:p>
    <w:p w14:paraId="1ED3A528" w14:textId="77777777" w:rsidR="00212DDD" w:rsidRPr="007A20E2" w:rsidRDefault="00212DDD" w:rsidP="007A20E2">
      <w:pPr>
        <w:pStyle w:val="ListParagraph"/>
        <w:numPr>
          <w:ilvl w:val="0"/>
          <w:numId w:val="9"/>
        </w:numPr>
        <w:jc w:val="both"/>
        <w:rPr>
          <w:rFonts w:ascii="Times New Roman" w:hAnsi="Times New Roman" w:cs="Times New Roman"/>
          <w:sz w:val="24"/>
          <w:szCs w:val="24"/>
        </w:rPr>
      </w:pPr>
      <w:r w:rsidRPr="007A20E2">
        <w:rPr>
          <w:rFonts w:ascii="Times New Roman" w:hAnsi="Times New Roman" w:cs="Times New Roman"/>
          <w:sz w:val="24"/>
          <w:szCs w:val="24"/>
        </w:rPr>
        <w:t>Attract Responsible Foreign Investment: Encourage responsible foreign direct investment that aligns with national development priorities and contributes to sustainable agricultural development. Establish clear regulatory frameworks and safeguards to mitigate risks associated with land grabbing, environmental degradation, and social displacement.</w:t>
      </w:r>
    </w:p>
    <w:p w14:paraId="3873B9A3" w14:textId="77777777" w:rsidR="00212DDD" w:rsidRPr="007A20E2" w:rsidRDefault="00212DDD" w:rsidP="007A20E2">
      <w:pPr>
        <w:jc w:val="both"/>
        <w:rPr>
          <w:rFonts w:ascii="Times New Roman" w:hAnsi="Times New Roman" w:cs="Times New Roman"/>
          <w:sz w:val="24"/>
          <w:szCs w:val="24"/>
        </w:rPr>
      </w:pPr>
    </w:p>
    <w:p w14:paraId="4AA56E57" w14:textId="77777777" w:rsidR="00212DDD" w:rsidRPr="007A20E2" w:rsidRDefault="00212DDD" w:rsidP="007A20E2">
      <w:pPr>
        <w:pStyle w:val="ListParagraph"/>
        <w:numPr>
          <w:ilvl w:val="0"/>
          <w:numId w:val="9"/>
        </w:numPr>
        <w:jc w:val="both"/>
        <w:rPr>
          <w:rFonts w:ascii="Times New Roman" w:hAnsi="Times New Roman" w:cs="Times New Roman"/>
          <w:sz w:val="24"/>
          <w:szCs w:val="24"/>
        </w:rPr>
      </w:pPr>
      <w:r w:rsidRPr="007A20E2">
        <w:rPr>
          <w:rFonts w:ascii="Times New Roman" w:hAnsi="Times New Roman" w:cs="Times New Roman"/>
          <w:sz w:val="24"/>
          <w:szCs w:val="24"/>
        </w:rPr>
        <w:t>Promote Renewable Energy Integration: Invest in renewable energy infrastructure to reduce reliance on fossil fuels and enhance energy security for agricultural activities. Prioritize the adoption of climate-smart agriculture practices, such as solar-powered irrigation systems and agroforestry techniques, to improve resilience to climate change impacts.</w:t>
      </w:r>
    </w:p>
    <w:p w14:paraId="1E7597E1" w14:textId="77777777" w:rsidR="00212DDD" w:rsidRPr="007A20E2" w:rsidRDefault="00212DDD" w:rsidP="007A20E2">
      <w:pPr>
        <w:pStyle w:val="ListParagraph"/>
        <w:numPr>
          <w:ilvl w:val="0"/>
          <w:numId w:val="9"/>
        </w:numPr>
        <w:jc w:val="both"/>
        <w:rPr>
          <w:rFonts w:ascii="Times New Roman" w:hAnsi="Times New Roman" w:cs="Times New Roman"/>
          <w:sz w:val="24"/>
          <w:szCs w:val="24"/>
        </w:rPr>
      </w:pPr>
      <w:r w:rsidRPr="007A20E2">
        <w:rPr>
          <w:rFonts w:ascii="Times New Roman" w:hAnsi="Times New Roman" w:cs="Times New Roman"/>
          <w:sz w:val="24"/>
          <w:szCs w:val="24"/>
        </w:rPr>
        <w:t>Invest in Climate Resilience: Develop adaptive strategies and resilience-building measures to mitigate the adverse effects of temperature fluctuations and climate variability on agricultural productivity. Prioritize investments in climate-resilient crops, water management systems, and early warning mechanisms to anticipate and respond to climate-related risks.</w:t>
      </w:r>
    </w:p>
    <w:p w14:paraId="205042C5" w14:textId="77777777" w:rsidR="00212DDD" w:rsidRDefault="00212DDD" w:rsidP="00212DDD">
      <w:pPr>
        <w:jc w:val="both"/>
        <w:rPr>
          <w:rFonts w:ascii="Times New Roman" w:eastAsia="Roboto" w:hAnsi="Times New Roman" w:cs="Times New Roman"/>
          <w:color w:val="374151"/>
          <w:sz w:val="24"/>
          <w:szCs w:val="24"/>
        </w:rPr>
      </w:pPr>
    </w:p>
    <w:p w14:paraId="231BE830" w14:textId="77777777" w:rsidR="000E675B" w:rsidRDefault="000E675B" w:rsidP="00212DDD">
      <w:pPr>
        <w:jc w:val="both"/>
        <w:rPr>
          <w:rFonts w:ascii="Times New Roman" w:eastAsia="Roboto" w:hAnsi="Times New Roman" w:cs="Times New Roman"/>
          <w:color w:val="374151"/>
          <w:sz w:val="24"/>
          <w:szCs w:val="24"/>
        </w:rPr>
      </w:pPr>
    </w:p>
    <w:p w14:paraId="00A7498A" w14:textId="77777777" w:rsidR="000E675B" w:rsidRDefault="000E675B" w:rsidP="00212DDD">
      <w:pPr>
        <w:jc w:val="both"/>
        <w:rPr>
          <w:rFonts w:ascii="Times New Roman" w:eastAsia="Roboto" w:hAnsi="Times New Roman" w:cs="Times New Roman"/>
          <w:color w:val="374151"/>
          <w:sz w:val="24"/>
          <w:szCs w:val="24"/>
        </w:rPr>
      </w:pPr>
    </w:p>
    <w:p w14:paraId="2CBCED47" w14:textId="77777777" w:rsidR="000E675B" w:rsidRDefault="000E675B" w:rsidP="00212DDD">
      <w:pPr>
        <w:jc w:val="both"/>
        <w:rPr>
          <w:rFonts w:ascii="Times New Roman" w:eastAsia="Roboto" w:hAnsi="Times New Roman" w:cs="Times New Roman"/>
          <w:color w:val="374151"/>
          <w:sz w:val="24"/>
          <w:szCs w:val="24"/>
        </w:rPr>
      </w:pPr>
    </w:p>
    <w:p w14:paraId="66E794D5" w14:textId="77777777" w:rsidR="000E675B" w:rsidRPr="00212DDD" w:rsidRDefault="000E675B" w:rsidP="00212DDD">
      <w:pPr>
        <w:jc w:val="both"/>
        <w:rPr>
          <w:rFonts w:ascii="Times New Roman" w:eastAsia="Roboto" w:hAnsi="Times New Roman" w:cs="Times New Roman"/>
          <w:color w:val="374151"/>
          <w:sz w:val="24"/>
          <w:szCs w:val="24"/>
        </w:rPr>
      </w:pPr>
    </w:p>
    <w:p w14:paraId="5A565BBB" w14:textId="77777777" w:rsidR="009209FD" w:rsidRPr="00212DDD" w:rsidRDefault="009209FD" w:rsidP="00212DDD">
      <w:pPr>
        <w:jc w:val="both"/>
        <w:rPr>
          <w:rFonts w:ascii="Times New Roman" w:eastAsia="Roboto" w:hAnsi="Times New Roman" w:cs="Times New Roman"/>
          <w:color w:val="374151"/>
          <w:sz w:val="24"/>
          <w:szCs w:val="24"/>
        </w:rPr>
      </w:pPr>
    </w:p>
    <w:p w14:paraId="3F318630" w14:textId="0A762E97" w:rsidR="009209FD" w:rsidRPr="00B217CC" w:rsidRDefault="009209FD" w:rsidP="00212DDD">
      <w:pPr>
        <w:jc w:val="both"/>
        <w:rPr>
          <w:rFonts w:ascii="Times New Roman" w:eastAsia="Roboto" w:hAnsi="Times New Roman" w:cs="Times New Roman"/>
          <w:b/>
          <w:color w:val="374151"/>
          <w:sz w:val="24"/>
          <w:szCs w:val="24"/>
        </w:rPr>
      </w:pPr>
      <w:r w:rsidRPr="00B217CC">
        <w:rPr>
          <w:rFonts w:ascii="Times New Roman" w:eastAsia="Roboto" w:hAnsi="Times New Roman" w:cs="Times New Roman"/>
          <w:b/>
          <w:color w:val="374151"/>
          <w:sz w:val="24"/>
          <w:szCs w:val="24"/>
        </w:rPr>
        <w:t xml:space="preserve">Table 4.6: </w:t>
      </w:r>
      <w:r w:rsidR="00A4250A" w:rsidRPr="00B217CC">
        <w:rPr>
          <w:rFonts w:ascii="Times New Roman" w:hAnsi="Times New Roman" w:cs="Times New Roman"/>
          <w:b/>
          <w:sz w:val="24"/>
          <w:szCs w:val="24"/>
        </w:rPr>
        <w:t>Panel regression result (</w:t>
      </w:r>
      <w:r w:rsidR="00A4250A" w:rsidRPr="00B217CC">
        <w:rPr>
          <w:rFonts w:ascii="Times New Roman" w:eastAsia="Roboto" w:hAnsi="Times New Roman" w:cs="Times New Roman"/>
          <w:b/>
          <w:color w:val="374151"/>
          <w:sz w:val="24"/>
          <w:szCs w:val="24"/>
        </w:rPr>
        <w:t>fixed effects).</w:t>
      </w:r>
    </w:p>
    <w:tbl>
      <w:tblPr>
        <w:tblW w:w="0" w:type="auto"/>
        <w:tblInd w:w="93" w:type="dxa"/>
        <w:tblBorders>
          <w:top w:val="single" w:sz="4" w:space="0" w:color="auto"/>
          <w:bottom w:val="single" w:sz="4" w:space="0" w:color="auto"/>
        </w:tblBorders>
        <w:tblLook w:val="04A0" w:firstRow="1" w:lastRow="0" w:firstColumn="1" w:lastColumn="0" w:noHBand="0" w:noVBand="1"/>
      </w:tblPr>
      <w:tblGrid>
        <w:gridCol w:w="1146"/>
        <w:gridCol w:w="1246"/>
        <w:gridCol w:w="1293"/>
        <w:gridCol w:w="1373"/>
        <w:gridCol w:w="1525"/>
        <w:gridCol w:w="1235"/>
        <w:gridCol w:w="1665"/>
      </w:tblGrid>
      <w:tr w:rsidR="009209FD" w:rsidRPr="00B217CC" w14:paraId="35796201" w14:textId="77777777" w:rsidTr="00B217CC">
        <w:trPr>
          <w:trHeight w:val="267"/>
        </w:trPr>
        <w:tc>
          <w:tcPr>
            <w:tcW w:w="0" w:type="auto"/>
            <w:tcBorders>
              <w:top w:val="single" w:sz="4" w:space="0" w:color="auto"/>
              <w:bottom w:val="single" w:sz="4" w:space="0" w:color="auto"/>
            </w:tcBorders>
            <w:shd w:val="clear" w:color="auto" w:fill="auto"/>
            <w:noWrap/>
            <w:vAlign w:val="bottom"/>
            <w:hideMark/>
          </w:tcPr>
          <w:p w14:paraId="107EA53D" w14:textId="77777777" w:rsidR="009209FD" w:rsidRPr="00B217CC" w:rsidRDefault="009209FD" w:rsidP="00212DDD">
            <w:pPr>
              <w:spacing w:line="240" w:lineRule="auto"/>
              <w:jc w:val="both"/>
              <w:rPr>
                <w:rFonts w:ascii="Times New Roman" w:eastAsia="Times New Roman" w:hAnsi="Times New Roman" w:cs="Times New Roman"/>
                <w:b/>
                <w:color w:val="000000"/>
                <w:szCs w:val="24"/>
              </w:rPr>
            </w:pPr>
            <w:r w:rsidRPr="00B217CC">
              <w:rPr>
                <w:rFonts w:ascii="Times New Roman" w:eastAsia="Times New Roman" w:hAnsi="Times New Roman" w:cs="Times New Roman"/>
                <w:b/>
                <w:color w:val="000000"/>
                <w:szCs w:val="24"/>
              </w:rPr>
              <w:t> </w:t>
            </w:r>
          </w:p>
        </w:tc>
        <w:tc>
          <w:tcPr>
            <w:tcW w:w="0" w:type="auto"/>
            <w:tcBorders>
              <w:top w:val="single" w:sz="4" w:space="0" w:color="auto"/>
              <w:bottom w:val="single" w:sz="4" w:space="0" w:color="auto"/>
            </w:tcBorders>
            <w:shd w:val="clear" w:color="auto" w:fill="auto"/>
            <w:noWrap/>
            <w:vAlign w:val="bottom"/>
            <w:hideMark/>
          </w:tcPr>
          <w:p w14:paraId="6595D140" w14:textId="77777777" w:rsidR="009209FD" w:rsidRPr="00B217CC" w:rsidRDefault="009209FD" w:rsidP="00212DDD">
            <w:pPr>
              <w:spacing w:line="240" w:lineRule="auto"/>
              <w:jc w:val="both"/>
              <w:rPr>
                <w:rFonts w:ascii="Times New Roman" w:eastAsia="Times New Roman" w:hAnsi="Times New Roman" w:cs="Times New Roman"/>
                <w:b/>
                <w:color w:val="000000"/>
                <w:szCs w:val="24"/>
              </w:rPr>
            </w:pPr>
            <w:r w:rsidRPr="00B217CC">
              <w:rPr>
                <w:rFonts w:ascii="Times New Roman" w:eastAsia="Times New Roman" w:hAnsi="Times New Roman" w:cs="Times New Roman"/>
                <w:b/>
                <w:color w:val="000000"/>
                <w:szCs w:val="24"/>
              </w:rPr>
              <w:t>Africa</w:t>
            </w:r>
          </w:p>
        </w:tc>
        <w:tc>
          <w:tcPr>
            <w:tcW w:w="0" w:type="auto"/>
            <w:tcBorders>
              <w:top w:val="single" w:sz="4" w:space="0" w:color="auto"/>
              <w:bottom w:val="single" w:sz="4" w:space="0" w:color="auto"/>
            </w:tcBorders>
            <w:shd w:val="clear" w:color="auto" w:fill="auto"/>
            <w:noWrap/>
            <w:vAlign w:val="bottom"/>
            <w:hideMark/>
          </w:tcPr>
          <w:p w14:paraId="3F897804" w14:textId="77777777" w:rsidR="009209FD" w:rsidRPr="00B217CC" w:rsidRDefault="009209FD" w:rsidP="00212DDD">
            <w:pPr>
              <w:spacing w:line="240" w:lineRule="auto"/>
              <w:jc w:val="both"/>
              <w:rPr>
                <w:rFonts w:ascii="Times New Roman" w:eastAsia="Times New Roman" w:hAnsi="Times New Roman" w:cs="Times New Roman"/>
                <w:b/>
                <w:color w:val="000000"/>
                <w:szCs w:val="24"/>
              </w:rPr>
            </w:pPr>
            <w:r w:rsidRPr="00B217CC">
              <w:rPr>
                <w:rFonts w:ascii="Times New Roman" w:eastAsia="Times New Roman" w:hAnsi="Times New Roman" w:cs="Times New Roman"/>
                <w:b/>
                <w:color w:val="000000"/>
                <w:szCs w:val="24"/>
              </w:rPr>
              <w:t>West Africa</w:t>
            </w:r>
          </w:p>
        </w:tc>
        <w:tc>
          <w:tcPr>
            <w:tcW w:w="0" w:type="auto"/>
            <w:tcBorders>
              <w:top w:val="single" w:sz="4" w:space="0" w:color="auto"/>
              <w:bottom w:val="single" w:sz="4" w:space="0" w:color="auto"/>
            </w:tcBorders>
            <w:shd w:val="clear" w:color="auto" w:fill="auto"/>
            <w:noWrap/>
            <w:vAlign w:val="bottom"/>
            <w:hideMark/>
          </w:tcPr>
          <w:p w14:paraId="17CDFD49" w14:textId="77777777" w:rsidR="009209FD" w:rsidRPr="00B217CC" w:rsidRDefault="009209FD" w:rsidP="00212DDD">
            <w:pPr>
              <w:spacing w:line="240" w:lineRule="auto"/>
              <w:jc w:val="both"/>
              <w:rPr>
                <w:rFonts w:ascii="Times New Roman" w:eastAsia="Times New Roman" w:hAnsi="Times New Roman" w:cs="Times New Roman"/>
                <w:b/>
                <w:color w:val="000000"/>
                <w:szCs w:val="24"/>
              </w:rPr>
            </w:pPr>
            <w:r w:rsidRPr="00B217CC">
              <w:rPr>
                <w:rFonts w:ascii="Times New Roman" w:eastAsia="Times New Roman" w:hAnsi="Times New Roman" w:cs="Times New Roman"/>
                <w:b/>
                <w:color w:val="000000"/>
                <w:szCs w:val="24"/>
              </w:rPr>
              <w:t>North Africa</w:t>
            </w:r>
          </w:p>
        </w:tc>
        <w:tc>
          <w:tcPr>
            <w:tcW w:w="0" w:type="auto"/>
            <w:tcBorders>
              <w:top w:val="single" w:sz="4" w:space="0" w:color="auto"/>
              <w:bottom w:val="single" w:sz="4" w:space="0" w:color="auto"/>
            </w:tcBorders>
            <w:shd w:val="clear" w:color="auto" w:fill="auto"/>
            <w:noWrap/>
            <w:vAlign w:val="bottom"/>
            <w:hideMark/>
          </w:tcPr>
          <w:p w14:paraId="547A861A" w14:textId="77777777" w:rsidR="009209FD" w:rsidRPr="00B217CC" w:rsidRDefault="009209FD" w:rsidP="00212DDD">
            <w:pPr>
              <w:spacing w:line="240" w:lineRule="auto"/>
              <w:jc w:val="both"/>
              <w:rPr>
                <w:rFonts w:ascii="Times New Roman" w:eastAsia="Times New Roman" w:hAnsi="Times New Roman" w:cs="Times New Roman"/>
                <w:b/>
                <w:color w:val="000000"/>
                <w:szCs w:val="24"/>
              </w:rPr>
            </w:pPr>
            <w:r w:rsidRPr="00B217CC">
              <w:rPr>
                <w:rFonts w:ascii="Times New Roman" w:eastAsia="Times New Roman" w:hAnsi="Times New Roman" w:cs="Times New Roman"/>
                <w:b/>
                <w:color w:val="000000"/>
                <w:szCs w:val="24"/>
              </w:rPr>
              <w:t>Central Africa</w:t>
            </w:r>
          </w:p>
        </w:tc>
        <w:tc>
          <w:tcPr>
            <w:tcW w:w="0" w:type="auto"/>
            <w:tcBorders>
              <w:top w:val="single" w:sz="4" w:space="0" w:color="auto"/>
              <w:bottom w:val="single" w:sz="4" w:space="0" w:color="auto"/>
            </w:tcBorders>
            <w:shd w:val="clear" w:color="auto" w:fill="auto"/>
            <w:noWrap/>
            <w:vAlign w:val="bottom"/>
            <w:hideMark/>
          </w:tcPr>
          <w:p w14:paraId="7B777034" w14:textId="77777777" w:rsidR="009209FD" w:rsidRPr="00B217CC" w:rsidRDefault="009209FD" w:rsidP="00212DDD">
            <w:pPr>
              <w:spacing w:line="240" w:lineRule="auto"/>
              <w:jc w:val="both"/>
              <w:rPr>
                <w:rFonts w:ascii="Times New Roman" w:eastAsia="Times New Roman" w:hAnsi="Times New Roman" w:cs="Times New Roman"/>
                <w:b/>
                <w:color w:val="000000"/>
                <w:szCs w:val="24"/>
              </w:rPr>
            </w:pPr>
            <w:r w:rsidRPr="00B217CC">
              <w:rPr>
                <w:rFonts w:ascii="Times New Roman" w:eastAsia="Times New Roman" w:hAnsi="Times New Roman" w:cs="Times New Roman"/>
                <w:b/>
                <w:color w:val="000000"/>
                <w:szCs w:val="24"/>
              </w:rPr>
              <w:t>East Africa</w:t>
            </w:r>
          </w:p>
        </w:tc>
        <w:tc>
          <w:tcPr>
            <w:tcW w:w="0" w:type="auto"/>
            <w:tcBorders>
              <w:top w:val="single" w:sz="4" w:space="0" w:color="auto"/>
              <w:bottom w:val="single" w:sz="4" w:space="0" w:color="auto"/>
            </w:tcBorders>
            <w:shd w:val="clear" w:color="auto" w:fill="auto"/>
            <w:noWrap/>
            <w:vAlign w:val="bottom"/>
            <w:hideMark/>
          </w:tcPr>
          <w:p w14:paraId="30187626" w14:textId="77777777" w:rsidR="009209FD" w:rsidRPr="00B217CC" w:rsidRDefault="009209FD" w:rsidP="00212DDD">
            <w:pPr>
              <w:spacing w:line="240" w:lineRule="auto"/>
              <w:jc w:val="both"/>
              <w:rPr>
                <w:rFonts w:ascii="Times New Roman" w:eastAsia="Times New Roman" w:hAnsi="Times New Roman" w:cs="Times New Roman"/>
                <w:b/>
                <w:color w:val="000000"/>
                <w:szCs w:val="24"/>
              </w:rPr>
            </w:pPr>
            <w:r w:rsidRPr="00B217CC">
              <w:rPr>
                <w:rFonts w:ascii="Times New Roman" w:eastAsia="Times New Roman" w:hAnsi="Times New Roman" w:cs="Times New Roman"/>
                <w:b/>
                <w:color w:val="000000"/>
                <w:szCs w:val="24"/>
              </w:rPr>
              <w:t>Southern Africa</w:t>
            </w:r>
          </w:p>
        </w:tc>
      </w:tr>
      <w:tr w:rsidR="009209FD" w:rsidRPr="00B217CC" w14:paraId="00E2DDD2" w14:textId="77777777" w:rsidTr="00B217CC">
        <w:trPr>
          <w:trHeight w:val="267"/>
        </w:trPr>
        <w:tc>
          <w:tcPr>
            <w:tcW w:w="0" w:type="auto"/>
            <w:tcBorders>
              <w:top w:val="single" w:sz="4" w:space="0" w:color="auto"/>
            </w:tcBorders>
            <w:shd w:val="clear" w:color="auto" w:fill="auto"/>
            <w:vAlign w:val="center"/>
            <w:hideMark/>
          </w:tcPr>
          <w:p w14:paraId="0CB17DCF"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CPIA</w:t>
            </w:r>
          </w:p>
        </w:tc>
        <w:tc>
          <w:tcPr>
            <w:tcW w:w="0" w:type="auto"/>
            <w:tcBorders>
              <w:top w:val="single" w:sz="4" w:space="0" w:color="auto"/>
            </w:tcBorders>
            <w:shd w:val="clear" w:color="auto" w:fill="auto"/>
            <w:vAlign w:val="center"/>
            <w:hideMark/>
          </w:tcPr>
          <w:p w14:paraId="10341F95"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41.467</w:t>
            </w:r>
          </w:p>
        </w:tc>
        <w:tc>
          <w:tcPr>
            <w:tcW w:w="0" w:type="auto"/>
            <w:tcBorders>
              <w:top w:val="single" w:sz="4" w:space="0" w:color="auto"/>
            </w:tcBorders>
            <w:shd w:val="clear" w:color="auto" w:fill="auto"/>
            <w:vAlign w:val="center"/>
            <w:hideMark/>
          </w:tcPr>
          <w:p w14:paraId="3AAC3F24"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-3.708</w:t>
            </w:r>
          </w:p>
        </w:tc>
        <w:tc>
          <w:tcPr>
            <w:tcW w:w="0" w:type="auto"/>
            <w:tcBorders>
              <w:top w:val="single" w:sz="4" w:space="0" w:color="auto"/>
            </w:tcBorders>
            <w:shd w:val="clear" w:color="auto" w:fill="auto"/>
            <w:vAlign w:val="center"/>
            <w:hideMark/>
          </w:tcPr>
          <w:p w14:paraId="7CFF21C4"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-131.988</w:t>
            </w:r>
          </w:p>
        </w:tc>
        <w:tc>
          <w:tcPr>
            <w:tcW w:w="0" w:type="auto"/>
            <w:tcBorders>
              <w:top w:val="single" w:sz="4" w:space="0" w:color="auto"/>
            </w:tcBorders>
            <w:shd w:val="clear" w:color="auto" w:fill="auto"/>
            <w:vAlign w:val="center"/>
            <w:hideMark/>
          </w:tcPr>
          <w:p w14:paraId="62BF464D"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63.070</w:t>
            </w:r>
          </w:p>
        </w:tc>
        <w:tc>
          <w:tcPr>
            <w:tcW w:w="0" w:type="auto"/>
            <w:tcBorders>
              <w:top w:val="single" w:sz="4" w:space="0" w:color="auto"/>
            </w:tcBorders>
            <w:shd w:val="clear" w:color="auto" w:fill="auto"/>
            <w:vAlign w:val="center"/>
          </w:tcPr>
          <w:p w14:paraId="5EF8D99A"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hAnsi="Times New Roman" w:cs="Times New Roman"/>
                <w:color w:val="000000"/>
                <w:szCs w:val="24"/>
              </w:rPr>
              <w:t>93.739</w:t>
            </w:r>
          </w:p>
        </w:tc>
        <w:tc>
          <w:tcPr>
            <w:tcW w:w="0" w:type="auto"/>
            <w:tcBorders>
              <w:top w:val="single" w:sz="4" w:space="0" w:color="auto"/>
            </w:tcBorders>
            <w:shd w:val="clear" w:color="auto" w:fill="auto"/>
            <w:vAlign w:val="center"/>
            <w:hideMark/>
          </w:tcPr>
          <w:p w14:paraId="0BC0DCCA"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129.394</w:t>
            </w:r>
          </w:p>
        </w:tc>
      </w:tr>
      <w:tr w:rsidR="009209FD" w:rsidRPr="00B217CC" w14:paraId="5B2D3807" w14:textId="77777777" w:rsidTr="00B217CC">
        <w:trPr>
          <w:trHeight w:val="267"/>
        </w:trPr>
        <w:tc>
          <w:tcPr>
            <w:tcW w:w="0" w:type="auto"/>
            <w:shd w:val="clear" w:color="auto" w:fill="auto"/>
            <w:vAlign w:val="center"/>
            <w:hideMark/>
          </w:tcPr>
          <w:p w14:paraId="1A6469C1"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 </w:t>
            </w:r>
          </w:p>
        </w:tc>
        <w:tc>
          <w:tcPr>
            <w:tcW w:w="0" w:type="auto"/>
            <w:shd w:val="clear" w:color="auto" w:fill="auto"/>
            <w:vAlign w:val="center"/>
            <w:hideMark/>
          </w:tcPr>
          <w:p w14:paraId="1939C7E4"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[17.702]</w:t>
            </w:r>
          </w:p>
        </w:tc>
        <w:tc>
          <w:tcPr>
            <w:tcW w:w="0" w:type="auto"/>
            <w:shd w:val="clear" w:color="auto" w:fill="auto"/>
            <w:vAlign w:val="center"/>
            <w:hideMark/>
          </w:tcPr>
          <w:p w14:paraId="58B62C56"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[21.725]</w:t>
            </w:r>
          </w:p>
        </w:tc>
        <w:tc>
          <w:tcPr>
            <w:tcW w:w="0" w:type="auto"/>
            <w:shd w:val="clear" w:color="auto" w:fill="auto"/>
            <w:vAlign w:val="center"/>
            <w:hideMark/>
          </w:tcPr>
          <w:p w14:paraId="5FCFD1C5"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[240.272]</w:t>
            </w:r>
          </w:p>
        </w:tc>
        <w:tc>
          <w:tcPr>
            <w:tcW w:w="0" w:type="auto"/>
            <w:shd w:val="clear" w:color="auto" w:fill="auto"/>
            <w:vAlign w:val="center"/>
            <w:hideMark/>
          </w:tcPr>
          <w:p w14:paraId="42AF51BA"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[47.485]</w:t>
            </w:r>
          </w:p>
        </w:tc>
        <w:tc>
          <w:tcPr>
            <w:tcW w:w="0" w:type="auto"/>
            <w:shd w:val="clear" w:color="auto" w:fill="auto"/>
            <w:vAlign w:val="center"/>
          </w:tcPr>
          <w:p w14:paraId="5ADF1A45"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hAnsi="Times New Roman" w:cs="Times New Roman"/>
                <w:color w:val="000000"/>
                <w:szCs w:val="24"/>
              </w:rPr>
              <w:t>[33.558]</w:t>
            </w:r>
          </w:p>
        </w:tc>
        <w:tc>
          <w:tcPr>
            <w:tcW w:w="0" w:type="auto"/>
            <w:shd w:val="clear" w:color="auto" w:fill="auto"/>
            <w:vAlign w:val="center"/>
            <w:hideMark/>
          </w:tcPr>
          <w:p w14:paraId="3BFFB0C5"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[61.121]</w:t>
            </w:r>
          </w:p>
        </w:tc>
      </w:tr>
      <w:tr w:rsidR="009209FD" w:rsidRPr="00B217CC" w14:paraId="4ADFA6D0" w14:textId="77777777" w:rsidTr="00B217CC">
        <w:trPr>
          <w:trHeight w:val="267"/>
        </w:trPr>
        <w:tc>
          <w:tcPr>
            <w:tcW w:w="0" w:type="auto"/>
            <w:shd w:val="clear" w:color="auto" w:fill="auto"/>
            <w:vAlign w:val="center"/>
            <w:hideMark/>
          </w:tcPr>
          <w:p w14:paraId="70CB42CD"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 </w:t>
            </w:r>
          </w:p>
        </w:tc>
        <w:tc>
          <w:tcPr>
            <w:tcW w:w="0" w:type="auto"/>
            <w:shd w:val="clear" w:color="auto" w:fill="auto"/>
            <w:vAlign w:val="center"/>
            <w:hideMark/>
          </w:tcPr>
          <w:p w14:paraId="40CE9FA5"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(2.3425)*</w:t>
            </w:r>
          </w:p>
        </w:tc>
        <w:tc>
          <w:tcPr>
            <w:tcW w:w="0" w:type="auto"/>
            <w:shd w:val="clear" w:color="auto" w:fill="auto"/>
            <w:vAlign w:val="center"/>
            <w:hideMark/>
          </w:tcPr>
          <w:p w14:paraId="51CF4971"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(-0.171)</w:t>
            </w:r>
          </w:p>
        </w:tc>
        <w:tc>
          <w:tcPr>
            <w:tcW w:w="0" w:type="auto"/>
            <w:shd w:val="clear" w:color="auto" w:fill="auto"/>
            <w:vAlign w:val="center"/>
            <w:hideMark/>
          </w:tcPr>
          <w:p w14:paraId="18415F5A"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(-0.549)</w:t>
            </w:r>
          </w:p>
        </w:tc>
        <w:tc>
          <w:tcPr>
            <w:tcW w:w="0" w:type="auto"/>
            <w:shd w:val="clear" w:color="auto" w:fill="auto"/>
            <w:vAlign w:val="center"/>
            <w:hideMark/>
          </w:tcPr>
          <w:p w14:paraId="1EF3B75F"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(1.328)</w:t>
            </w:r>
          </w:p>
        </w:tc>
        <w:tc>
          <w:tcPr>
            <w:tcW w:w="0" w:type="auto"/>
            <w:shd w:val="clear" w:color="auto" w:fill="auto"/>
            <w:vAlign w:val="center"/>
          </w:tcPr>
          <w:p w14:paraId="06CE696B"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hAnsi="Times New Roman" w:cs="Times New Roman"/>
                <w:color w:val="000000"/>
                <w:szCs w:val="24"/>
              </w:rPr>
              <w:t>(2.793)**</w:t>
            </w:r>
          </w:p>
        </w:tc>
        <w:tc>
          <w:tcPr>
            <w:tcW w:w="0" w:type="auto"/>
            <w:shd w:val="clear" w:color="auto" w:fill="auto"/>
            <w:vAlign w:val="center"/>
            <w:hideMark/>
          </w:tcPr>
          <w:p w14:paraId="37AEE04C"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(2.117)*</w:t>
            </w:r>
          </w:p>
        </w:tc>
      </w:tr>
      <w:tr w:rsidR="009209FD" w:rsidRPr="00B217CC" w14:paraId="37009DCE" w14:textId="77777777" w:rsidTr="00B217CC">
        <w:trPr>
          <w:trHeight w:val="267"/>
        </w:trPr>
        <w:tc>
          <w:tcPr>
            <w:tcW w:w="0" w:type="auto"/>
            <w:shd w:val="clear" w:color="auto" w:fill="auto"/>
            <w:vAlign w:val="center"/>
            <w:hideMark/>
          </w:tcPr>
          <w:p w14:paraId="010F664A"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DEM</w:t>
            </w:r>
          </w:p>
        </w:tc>
        <w:tc>
          <w:tcPr>
            <w:tcW w:w="0" w:type="auto"/>
            <w:shd w:val="clear" w:color="auto" w:fill="auto"/>
            <w:vAlign w:val="center"/>
            <w:hideMark/>
          </w:tcPr>
          <w:p w14:paraId="46D3C780"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852.915</w:t>
            </w:r>
          </w:p>
        </w:tc>
        <w:tc>
          <w:tcPr>
            <w:tcW w:w="0" w:type="auto"/>
            <w:shd w:val="clear" w:color="auto" w:fill="auto"/>
            <w:vAlign w:val="center"/>
            <w:hideMark/>
          </w:tcPr>
          <w:p w14:paraId="45995031"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63.689</w:t>
            </w:r>
          </w:p>
        </w:tc>
        <w:tc>
          <w:tcPr>
            <w:tcW w:w="0" w:type="auto"/>
            <w:shd w:val="clear" w:color="auto" w:fill="auto"/>
            <w:vAlign w:val="center"/>
            <w:hideMark/>
          </w:tcPr>
          <w:p w14:paraId="25A6532D"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2080.672</w:t>
            </w:r>
          </w:p>
        </w:tc>
        <w:tc>
          <w:tcPr>
            <w:tcW w:w="0" w:type="auto"/>
            <w:shd w:val="clear" w:color="auto" w:fill="auto"/>
            <w:vAlign w:val="center"/>
            <w:hideMark/>
          </w:tcPr>
          <w:p w14:paraId="78D1A3FC"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1056.159</w:t>
            </w:r>
          </w:p>
        </w:tc>
        <w:tc>
          <w:tcPr>
            <w:tcW w:w="0" w:type="auto"/>
            <w:shd w:val="clear" w:color="auto" w:fill="auto"/>
            <w:vAlign w:val="center"/>
          </w:tcPr>
          <w:p w14:paraId="1D8CF50F"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hAnsi="Times New Roman" w:cs="Times New Roman"/>
                <w:color w:val="000000"/>
                <w:szCs w:val="24"/>
              </w:rPr>
              <w:t>784.667</w:t>
            </w:r>
          </w:p>
        </w:tc>
        <w:tc>
          <w:tcPr>
            <w:tcW w:w="0" w:type="auto"/>
            <w:shd w:val="clear" w:color="auto" w:fill="auto"/>
            <w:vAlign w:val="center"/>
            <w:hideMark/>
          </w:tcPr>
          <w:p w14:paraId="43A1F353"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2020.361</w:t>
            </w:r>
          </w:p>
        </w:tc>
      </w:tr>
      <w:tr w:rsidR="009209FD" w:rsidRPr="00B217CC" w14:paraId="7017C3AB" w14:textId="77777777" w:rsidTr="00B217CC">
        <w:trPr>
          <w:trHeight w:val="267"/>
        </w:trPr>
        <w:tc>
          <w:tcPr>
            <w:tcW w:w="0" w:type="auto"/>
            <w:shd w:val="clear" w:color="auto" w:fill="auto"/>
            <w:vAlign w:val="center"/>
            <w:hideMark/>
          </w:tcPr>
          <w:p w14:paraId="2DB2BBD5"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 </w:t>
            </w:r>
          </w:p>
        </w:tc>
        <w:tc>
          <w:tcPr>
            <w:tcW w:w="0" w:type="auto"/>
            <w:shd w:val="clear" w:color="auto" w:fill="auto"/>
            <w:vAlign w:val="center"/>
            <w:hideMark/>
          </w:tcPr>
          <w:p w14:paraId="3CDCA59C"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[244.639]</w:t>
            </w:r>
          </w:p>
        </w:tc>
        <w:tc>
          <w:tcPr>
            <w:tcW w:w="0" w:type="auto"/>
            <w:shd w:val="clear" w:color="auto" w:fill="auto"/>
            <w:vAlign w:val="center"/>
            <w:hideMark/>
          </w:tcPr>
          <w:p w14:paraId="77CA133B"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[347.949]</w:t>
            </w:r>
          </w:p>
        </w:tc>
        <w:tc>
          <w:tcPr>
            <w:tcW w:w="0" w:type="auto"/>
            <w:shd w:val="clear" w:color="auto" w:fill="auto"/>
            <w:vAlign w:val="center"/>
            <w:hideMark/>
          </w:tcPr>
          <w:p w14:paraId="1E50BC2A"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[601.701]</w:t>
            </w:r>
          </w:p>
        </w:tc>
        <w:tc>
          <w:tcPr>
            <w:tcW w:w="0" w:type="auto"/>
            <w:shd w:val="clear" w:color="auto" w:fill="auto"/>
            <w:vAlign w:val="center"/>
            <w:hideMark/>
          </w:tcPr>
          <w:p w14:paraId="1A4F6928"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[1039.912]</w:t>
            </w:r>
          </w:p>
        </w:tc>
        <w:tc>
          <w:tcPr>
            <w:tcW w:w="0" w:type="auto"/>
            <w:shd w:val="clear" w:color="auto" w:fill="auto"/>
            <w:vAlign w:val="center"/>
          </w:tcPr>
          <w:p w14:paraId="7381EB76"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hAnsi="Times New Roman" w:cs="Times New Roman"/>
                <w:color w:val="000000"/>
                <w:szCs w:val="24"/>
              </w:rPr>
              <w:t>[547.923]</w:t>
            </w:r>
          </w:p>
        </w:tc>
        <w:tc>
          <w:tcPr>
            <w:tcW w:w="0" w:type="auto"/>
            <w:shd w:val="clear" w:color="auto" w:fill="auto"/>
            <w:vAlign w:val="center"/>
            <w:hideMark/>
          </w:tcPr>
          <w:p w14:paraId="5A32F617"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[778.090]</w:t>
            </w:r>
          </w:p>
        </w:tc>
      </w:tr>
      <w:tr w:rsidR="009209FD" w:rsidRPr="00B217CC" w14:paraId="794A3121" w14:textId="77777777" w:rsidTr="00B217CC">
        <w:trPr>
          <w:trHeight w:val="267"/>
        </w:trPr>
        <w:tc>
          <w:tcPr>
            <w:tcW w:w="0" w:type="auto"/>
            <w:shd w:val="clear" w:color="auto" w:fill="auto"/>
            <w:vAlign w:val="center"/>
            <w:hideMark/>
          </w:tcPr>
          <w:p w14:paraId="5ABA65DD"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 </w:t>
            </w:r>
          </w:p>
        </w:tc>
        <w:tc>
          <w:tcPr>
            <w:tcW w:w="0" w:type="auto"/>
            <w:shd w:val="clear" w:color="auto" w:fill="auto"/>
            <w:vAlign w:val="center"/>
            <w:hideMark/>
          </w:tcPr>
          <w:p w14:paraId="3BE2BAF5"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(3.486)**</w:t>
            </w:r>
          </w:p>
        </w:tc>
        <w:tc>
          <w:tcPr>
            <w:tcW w:w="0" w:type="auto"/>
            <w:shd w:val="clear" w:color="auto" w:fill="auto"/>
            <w:vAlign w:val="center"/>
            <w:hideMark/>
          </w:tcPr>
          <w:p w14:paraId="042B2385"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(0.183)</w:t>
            </w:r>
          </w:p>
        </w:tc>
        <w:tc>
          <w:tcPr>
            <w:tcW w:w="0" w:type="auto"/>
            <w:shd w:val="clear" w:color="auto" w:fill="auto"/>
            <w:vAlign w:val="center"/>
            <w:hideMark/>
          </w:tcPr>
          <w:p w14:paraId="05FE68FB"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(3.458)**</w:t>
            </w:r>
          </w:p>
        </w:tc>
        <w:tc>
          <w:tcPr>
            <w:tcW w:w="0" w:type="auto"/>
            <w:shd w:val="clear" w:color="auto" w:fill="auto"/>
            <w:vAlign w:val="center"/>
            <w:hideMark/>
          </w:tcPr>
          <w:p w14:paraId="0C0E197D"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(1.016)</w:t>
            </w:r>
          </w:p>
        </w:tc>
        <w:tc>
          <w:tcPr>
            <w:tcW w:w="0" w:type="auto"/>
            <w:shd w:val="clear" w:color="auto" w:fill="auto"/>
            <w:vAlign w:val="center"/>
          </w:tcPr>
          <w:p w14:paraId="13F47BA6"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hAnsi="Times New Roman" w:cs="Times New Roman"/>
                <w:color w:val="000000"/>
                <w:szCs w:val="24"/>
              </w:rPr>
              <w:t>(1.432)*</w:t>
            </w:r>
          </w:p>
        </w:tc>
        <w:tc>
          <w:tcPr>
            <w:tcW w:w="0" w:type="auto"/>
            <w:shd w:val="clear" w:color="auto" w:fill="auto"/>
            <w:vAlign w:val="center"/>
            <w:hideMark/>
          </w:tcPr>
          <w:p w14:paraId="25383B5D"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(2.597)*</w:t>
            </w:r>
          </w:p>
        </w:tc>
      </w:tr>
      <w:tr w:rsidR="009209FD" w:rsidRPr="00B217CC" w14:paraId="60D87D23" w14:textId="77777777" w:rsidTr="00B217CC">
        <w:trPr>
          <w:trHeight w:val="267"/>
        </w:trPr>
        <w:tc>
          <w:tcPr>
            <w:tcW w:w="0" w:type="auto"/>
            <w:shd w:val="clear" w:color="auto" w:fill="auto"/>
            <w:vAlign w:val="center"/>
            <w:hideMark/>
          </w:tcPr>
          <w:p w14:paraId="2E4BB0BB"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EDB</w:t>
            </w:r>
          </w:p>
        </w:tc>
        <w:tc>
          <w:tcPr>
            <w:tcW w:w="0" w:type="auto"/>
            <w:shd w:val="clear" w:color="auto" w:fill="auto"/>
            <w:vAlign w:val="center"/>
            <w:hideMark/>
          </w:tcPr>
          <w:p w14:paraId="28C7C56F"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5.726</w:t>
            </w:r>
          </w:p>
        </w:tc>
        <w:tc>
          <w:tcPr>
            <w:tcW w:w="0" w:type="auto"/>
            <w:shd w:val="clear" w:color="auto" w:fill="auto"/>
            <w:vAlign w:val="center"/>
            <w:hideMark/>
          </w:tcPr>
          <w:p w14:paraId="12EE0274"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5.298</w:t>
            </w:r>
          </w:p>
        </w:tc>
        <w:tc>
          <w:tcPr>
            <w:tcW w:w="0" w:type="auto"/>
            <w:shd w:val="clear" w:color="auto" w:fill="auto"/>
            <w:vAlign w:val="center"/>
            <w:hideMark/>
          </w:tcPr>
          <w:p w14:paraId="4FE0C86C"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3.311</w:t>
            </w:r>
          </w:p>
        </w:tc>
        <w:tc>
          <w:tcPr>
            <w:tcW w:w="0" w:type="auto"/>
            <w:shd w:val="clear" w:color="auto" w:fill="auto"/>
            <w:vAlign w:val="center"/>
            <w:hideMark/>
          </w:tcPr>
          <w:p w14:paraId="7D75BE7B"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7.472</w:t>
            </w:r>
          </w:p>
        </w:tc>
        <w:tc>
          <w:tcPr>
            <w:tcW w:w="0" w:type="auto"/>
            <w:shd w:val="clear" w:color="auto" w:fill="auto"/>
            <w:vAlign w:val="center"/>
          </w:tcPr>
          <w:p w14:paraId="2919806D"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hAnsi="Times New Roman" w:cs="Times New Roman"/>
                <w:color w:val="000000"/>
                <w:szCs w:val="24"/>
              </w:rPr>
              <w:t>4.922</w:t>
            </w:r>
          </w:p>
        </w:tc>
        <w:tc>
          <w:tcPr>
            <w:tcW w:w="0" w:type="auto"/>
            <w:shd w:val="clear" w:color="auto" w:fill="auto"/>
            <w:vAlign w:val="center"/>
            <w:hideMark/>
          </w:tcPr>
          <w:p w14:paraId="5260A64B"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0.547949</w:t>
            </w:r>
          </w:p>
        </w:tc>
      </w:tr>
      <w:tr w:rsidR="009209FD" w:rsidRPr="00B217CC" w14:paraId="468F235E" w14:textId="77777777" w:rsidTr="00B217CC">
        <w:trPr>
          <w:trHeight w:val="267"/>
        </w:trPr>
        <w:tc>
          <w:tcPr>
            <w:tcW w:w="0" w:type="auto"/>
            <w:shd w:val="clear" w:color="auto" w:fill="auto"/>
            <w:vAlign w:val="center"/>
            <w:hideMark/>
          </w:tcPr>
          <w:p w14:paraId="6C458526"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 </w:t>
            </w:r>
          </w:p>
        </w:tc>
        <w:tc>
          <w:tcPr>
            <w:tcW w:w="0" w:type="auto"/>
            <w:shd w:val="clear" w:color="auto" w:fill="auto"/>
            <w:vAlign w:val="center"/>
            <w:hideMark/>
          </w:tcPr>
          <w:p w14:paraId="4211F00D"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[2.2969]</w:t>
            </w:r>
          </w:p>
        </w:tc>
        <w:tc>
          <w:tcPr>
            <w:tcW w:w="0" w:type="auto"/>
            <w:shd w:val="clear" w:color="auto" w:fill="auto"/>
            <w:vAlign w:val="center"/>
            <w:hideMark/>
          </w:tcPr>
          <w:p w14:paraId="4532F61E"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[1.408]</w:t>
            </w:r>
          </w:p>
        </w:tc>
        <w:tc>
          <w:tcPr>
            <w:tcW w:w="0" w:type="auto"/>
            <w:shd w:val="clear" w:color="auto" w:fill="auto"/>
            <w:vAlign w:val="center"/>
            <w:hideMark/>
          </w:tcPr>
          <w:p w14:paraId="4F18BD1B"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[3.114]</w:t>
            </w:r>
          </w:p>
        </w:tc>
        <w:tc>
          <w:tcPr>
            <w:tcW w:w="0" w:type="auto"/>
            <w:shd w:val="clear" w:color="auto" w:fill="auto"/>
            <w:vAlign w:val="center"/>
            <w:hideMark/>
          </w:tcPr>
          <w:p w14:paraId="031B9758"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[3.033]</w:t>
            </w:r>
          </w:p>
        </w:tc>
        <w:tc>
          <w:tcPr>
            <w:tcW w:w="0" w:type="auto"/>
            <w:shd w:val="clear" w:color="auto" w:fill="auto"/>
            <w:vAlign w:val="center"/>
          </w:tcPr>
          <w:p w14:paraId="5489B8F9"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hAnsi="Times New Roman" w:cs="Times New Roman"/>
                <w:color w:val="000000"/>
                <w:szCs w:val="24"/>
              </w:rPr>
              <w:t>[1.514]</w:t>
            </w:r>
          </w:p>
        </w:tc>
        <w:tc>
          <w:tcPr>
            <w:tcW w:w="0" w:type="auto"/>
            <w:shd w:val="clear" w:color="auto" w:fill="auto"/>
            <w:vAlign w:val="center"/>
            <w:hideMark/>
          </w:tcPr>
          <w:p w14:paraId="428A1687"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1.706645</w:t>
            </w:r>
          </w:p>
        </w:tc>
      </w:tr>
      <w:tr w:rsidR="009209FD" w:rsidRPr="00B217CC" w14:paraId="1B087CE1" w14:textId="77777777" w:rsidTr="00B217CC">
        <w:trPr>
          <w:trHeight w:val="267"/>
        </w:trPr>
        <w:tc>
          <w:tcPr>
            <w:tcW w:w="0" w:type="auto"/>
            <w:shd w:val="clear" w:color="auto" w:fill="auto"/>
            <w:vAlign w:val="center"/>
            <w:hideMark/>
          </w:tcPr>
          <w:p w14:paraId="7C4C9D51"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 </w:t>
            </w:r>
          </w:p>
        </w:tc>
        <w:tc>
          <w:tcPr>
            <w:tcW w:w="0" w:type="auto"/>
            <w:shd w:val="clear" w:color="auto" w:fill="auto"/>
            <w:vAlign w:val="center"/>
            <w:hideMark/>
          </w:tcPr>
          <w:p w14:paraId="223C3A44"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(2.493)*</w:t>
            </w:r>
          </w:p>
        </w:tc>
        <w:tc>
          <w:tcPr>
            <w:tcW w:w="0" w:type="auto"/>
            <w:shd w:val="clear" w:color="auto" w:fill="auto"/>
            <w:vAlign w:val="center"/>
            <w:hideMark/>
          </w:tcPr>
          <w:p w14:paraId="7B9416B2"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(3.763)***</w:t>
            </w:r>
          </w:p>
        </w:tc>
        <w:tc>
          <w:tcPr>
            <w:tcW w:w="0" w:type="auto"/>
            <w:shd w:val="clear" w:color="auto" w:fill="auto"/>
            <w:vAlign w:val="center"/>
            <w:hideMark/>
          </w:tcPr>
          <w:p w14:paraId="7B379C41"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(1.064)</w:t>
            </w:r>
          </w:p>
        </w:tc>
        <w:tc>
          <w:tcPr>
            <w:tcW w:w="0" w:type="auto"/>
            <w:shd w:val="clear" w:color="auto" w:fill="auto"/>
            <w:vAlign w:val="center"/>
            <w:hideMark/>
          </w:tcPr>
          <w:p w14:paraId="1F72518B"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(2.464)*</w:t>
            </w:r>
          </w:p>
        </w:tc>
        <w:tc>
          <w:tcPr>
            <w:tcW w:w="0" w:type="auto"/>
            <w:shd w:val="clear" w:color="auto" w:fill="auto"/>
            <w:vAlign w:val="center"/>
          </w:tcPr>
          <w:p w14:paraId="7FAEF292"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hAnsi="Times New Roman" w:cs="Times New Roman"/>
                <w:color w:val="000000"/>
                <w:szCs w:val="24"/>
              </w:rPr>
              <w:t>(3.251)**</w:t>
            </w:r>
          </w:p>
        </w:tc>
        <w:tc>
          <w:tcPr>
            <w:tcW w:w="0" w:type="auto"/>
            <w:shd w:val="clear" w:color="auto" w:fill="auto"/>
            <w:vAlign w:val="center"/>
            <w:hideMark/>
          </w:tcPr>
          <w:p w14:paraId="759CCA44"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(0.321)</w:t>
            </w:r>
          </w:p>
        </w:tc>
      </w:tr>
      <w:tr w:rsidR="009209FD" w:rsidRPr="00B217CC" w14:paraId="256AACB2" w14:textId="77777777" w:rsidTr="00B217CC">
        <w:trPr>
          <w:trHeight w:val="267"/>
        </w:trPr>
        <w:tc>
          <w:tcPr>
            <w:tcW w:w="0" w:type="auto"/>
            <w:shd w:val="clear" w:color="auto" w:fill="auto"/>
            <w:vAlign w:val="center"/>
            <w:hideMark/>
          </w:tcPr>
          <w:p w14:paraId="2FAB860D"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FDI</w:t>
            </w:r>
          </w:p>
        </w:tc>
        <w:tc>
          <w:tcPr>
            <w:tcW w:w="0" w:type="auto"/>
            <w:shd w:val="clear" w:color="auto" w:fill="auto"/>
            <w:vAlign w:val="center"/>
            <w:hideMark/>
          </w:tcPr>
          <w:p w14:paraId="6242710B"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4.796</w:t>
            </w:r>
          </w:p>
        </w:tc>
        <w:tc>
          <w:tcPr>
            <w:tcW w:w="0" w:type="auto"/>
            <w:shd w:val="clear" w:color="auto" w:fill="auto"/>
            <w:vAlign w:val="center"/>
            <w:hideMark/>
          </w:tcPr>
          <w:p w14:paraId="29F7A869"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2.596</w:t>
            </w:r>
          </w:p>
        </w:tc>
        <w:tc>
          <w:tcPr>
            <w:tcW w:w="0" w:type="auto"/>
            <w:shd w:val="clear" w:color="auto" w:fill="auto"/>
            <w:vAlign w:val="center"/>
            <w:hideMark/>
          </w:tcPr>
          <w:p w14:paraId="1D048FD3"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-23.5706</w:t>
            </w:r>
          </w:p>
        </w:tc>
        <w:tc>
          <w:tcPr>
            <w:tcW w:w="0" w:type="auto"/>
            <w:shd w:val="clear" w:color="auto" w:fill="auto"/>
            <w:vAlign w:val="center"/>
            <w:hideMark/>
          </w:tcPr>
          <w:p w14:paraId="530E56A9"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-2.674</w:t>
            </w:r>
          </w:p>
        </w:tc>
        <w:tc>
          <w:tcPr>
            <w:tcW w:w="0" w:type="auto"/>
            <w:shd w:val="clear" w:color="auto" w:fill="auto"/>
            <w:vAlign w:val="center"/>
          </w:tcPr>
          <w:p w14:paraId="681F7665"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hAnsi="Times New Roman" w:cs="Times New Roman"/>
                <w:color w:val="000000"/>
                <w:szCs w:val="24"/>
              </w:rPr>
              <w:t>25.790</w:t>
            </w:r>
          </w:p>
        </w:tc>
        <w:tc>
          <w:tcPr>
            <w:tcW w:w="0" w:type="auto"/>
            <w:shd w:val="clear" w:color="auto" w:fill="auto"/>
            <w:vAlign w:val="center"/>
            <w:hideMark/>
          </w:tcPr>
          <w:p w14:paraId="1A0DFB34"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-15.1173</w:t>
            </w:r>
          </w:p>
        </w:tc>
      </w:tr>
      <w:tr w:rsidR="009209FD" w:rsidRPr="00B217CC" w14:paraId="44D313DD" w14:textId="77777777" w:rsidTr="00B217CC">
        <w:trPr>
          <w:trHeight w:val="267"/>
        </w:trPr>
        <w:tc>
          <w:tcPr>
            <w:tcW w:w="0" w:type="auto"/>
            <w:shd w:val="clear" w:color="auto" w:fill="auto"/>
            <w:vAlign w:val="center"/>
            <w:hideMark/>
          </w:tcPr>
          <w:p w14:paraId="086FE1FD"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 </w:t>
            </w:r>
          </w:p>
        </w:tc>
        <w:tc>
          <w:tcPr>
            <w:tcW w:w="0" w:type="auto"/>
            <w:shd w:val="clear" w:color="auto" w:fill="auto"/>
            <w:vAlign w:val="center"/>
            <w:hideMark/>
          </w:tcPr>
          <w:p w14:paraId="473D58AA"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[0.887]</w:t>
            </w:r>
          </w:p>
        </w:tc>
        <w:tc>
          <w:tcPr>
            <w:tcW w:w="0" w:type="auto"/>
            <w:shd w:val="clear" w:color="auto" w:fill="auto"/>
            <w:vAlign w:val="center"/>
            <w:hideMark/>
          </w:tcPr>
          <w:p w14:paraId="177F3C9D"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[2.499]</w:t>
            </w:r>
          </w:p>
        </w:tc>
        <w:tc>
          <w:tcPr>
            <w:tcW w:w="0" w:type="auto"/>
            <w:shd w:val="clear" w:color="auto" w:fill="auto"/>
            <w:vAlign w:val="center"/>
            <w:hideMark/>
          </w:tcPr>
          <w:p w14:paraId="0745181F"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[42.998]</w:t>
            </w:r>
          </w:p>
        </w:tc>
        <w:tc>
          <w:tcPr>
            <w:tcW w:w="0" w:type="auto"/>
            <w:shd w:val="clear" w:color="auto" w:fill="auto"/>
            <w:vAlign w:val="center"/>
            <w:hideMark/>
          </w:tcPr>
          <w:p w14:paraId="00BB22E0"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[5.490]</w:t>
            </w:r>
          </w:p>
        </w:tc>
        <w:tc>
          <w:tcPr>
            <w:tcW w:w="0" w:type="auto"/>
            <w:shd w:val="clear" w:color="auto" w:fill="auto"/>
            <w:vAlign w:val="center"/>
          </w:tcPr>
          <w:p w14:paraId="26359509"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hAnsi="Times New Roman" w:cs="Times New Roman"/>
                <w:color w:val="000000"/>
                <w:szCs w:val="24"/>
              </w:rPr>
              <w:t>[5.101]</w:t>
            </w:r>
          </w:p>
        </w:tc>
        <w:tc>
          <w:tcPr>
            <w:tcW w:w="0" w:type="auto"/>
            <w:shd w:val="clear" w:color="auto" w:fill="auto"/>
            <w:vAlign w:val="center"/>
            <w:hideMark/>
          </w:tcPr>
          <w:p w14:paraId="70A353CF"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[15.597]</w:t>
            </w:r>
          </w:p>
        </w:tc>
      </w:tr>
      <w:tr w:rsidR="009209FD" w:rsidRPr="00B217CC" w14:paraId="7615DEC3" w14:textId="77777777" w:rsidTr="00B217CC">
        <w:trPr>
          <w:trHeight w:val="267"/>
        </w:trPr>
        <w:tc>
          <w:tcPr>
            <w:tcW w:w="0" w:type="auto"/>
            <w:shd w:val="clear" w:color="auto" w:fill="auto"/>
            <w:vAlign w:val="center"/>
            <w:hideMark/>
          </w:tcPr>
          <w:p w14:paraId="70ADD77B"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 </w:t>
            </w:r>
          </w:p>
        </w:tc>
        <w:tc>
          <w:tcPr>
            <w:tcW w:w="0" w:type="auto"/>
            <w:shd w:val="clear" w:color="auto" w:fill="auto"/>
            <w:vAlign w:val="center"/>
            <w:hideMark/>
          </w:tcPr>
          <w:p w14:paraId="58306D7D"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(5.409)***</w:t>
            </w:r>
          </w:p>
        </w:tc>
        <w:tc>
          <w:tcPr>
            <w:tcW w:w="0" w:type="auto"/>
            <w:shd w:val="clear" w:color="auto" w:fill="auto"/>
            <w:vAlign w:val="center"/>
            <w:hideMark/>
          </w:tcPr>
          <w:p w14:paraId="54E52C26"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(1.039)</w:t>
            </w:r>
          </w:p>
        </w:tc>
        <w:tc>
          <w:tcPr>
            <w:tcW w:w="0" w:type="auto"/>
            <w:shd w:val="clear" w:color="auto" w:fill="auto"/>
            <w:vAlign w:val="center"/>
            <w:hideMark/>
          </w:tcPr>
          <w:p w14:paraId="76DBA28A"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(-0.548)</w:t>
            </w:r>
          </w:p>
        </w:tc>
        <w:tc>
          <w:tcPr>
            <w:tcW w:w="0" w:type="auto"/>
            <w:shd w:val="clear" w:color="auto" w:fill="auto"/>
            <w:vAlign w:val="center"/>
            <w:hideMark/>
          </w:tcPr>
          <w:p w14:paraId="62F7882F"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(-0.487)</w:t>
            </w:r>
          </w:p>
        </w:tc>
        <w:tc>
          <w:tcPr>
            <w:tcW w:w="0" w:type="auto"/>
            <w:shd w:val="clear" w:color="auto" w:fill="auto"/>
            <w:vAlign w:val="center"/>
          </w:tcPr>
          <w:p w14:paraId="4D305D3F"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hAnsi="Times New Roman" w:cs="Times New Roman"/>
                <w:color w:val="000000"/>
                <w:szCs w:val="24"/>
              </w:rPr>
              <w:t>(5.056)***</w:t>
            </w:r>
          </w:p>
        </w:tc>
        <w:tc>
          <w:tcPr>
            <w:tcW w:w="0" w:type="auto"/>
            <w:shd w:val="clear" w:color="auto" w:fill="auto"/>
            <w:vAlign w:val="center"/>
            <w:hideMark/>
          </w:tcPr>
          <w:p w14:paraId="5376227C"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(-0.969)</w:t>
            </w:r>
          </w:p>
        </w:tc>
      </w:tr>
      <w:tr w:rsidR="009209FD" w:rsidRPr="00B217CC" w14:paraId="3121A006" w14:textId="77777777" w:rsidTr="00B217CC">
        <w:trPr>
          <w:trHeight w:val="427"/>
        </w:trPr>
        <w:tc>
          <w:tcPr>
            <w:tcW w:w="0" w:type="auto"/>
            <w:shd w:val="clear" w:color="auto" w:fill="auto"/>
            <w:vAlign w:val="center"/>
            <w:hideMark/>
          </w:tcPr>
          <w:p w14:paraId="400FD860"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REN</w:t>
            </w:r>
          </w:p>
        </w:tc>
        <w:tc>
          <w:tcPr>
            <w:tcW w:w="0" w:type="auto"/>
            <w:shd w:val="clear" w:color="auto" w:fill="auto"/>
            <w:vAlign w:val="center"/>
            <w:hideMark/>
          </w:tcPr>
          <w:p w14:paraId="3AECA62E"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13.364</w:t>
            </w:r>
          </w:p>
        </w:tc>
        <w:tc>
          <w:tcPr>
            <w:tcW w:w="0" w:type="auto"/>
            <w:shd w:val="clear" w:color="auto" w:fill="auto"/>
            <w:vAlign w:val="center"/>
            <w:hideMark/>
          </w:tcPr>
          <w:p w14:paraId="23AFFB3E"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14.400</w:t>
            </w:r>
          </w:p>
        </w:tc>
        <w:tc>
          <w:tcPr>
            <w:tcW w:w="0" w:type="auto"/>
            <w:shd w:val="clear" w:color="auto" w:fill="auto"/>
            <w:vAlign w:val="center"/>
            <w:hideMark/>
          </w:tcPr>
          <w:p w14:paraId="31464CC5"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10.568</w:t>
            </w:r>
          </w:p>
        </w:tc>
        <w:tc>
          <w:tcPr>
            <w:tcW w:w="0" w:type="auto"/>
            <w:shd w:val="clear" w:color="auto" w:fill="auto"/>
            <w:vAlign w:val="center"/>
            <w:hideMark/>
          </w:tcPr>
          <w:p w14:paraId="70FBF3D6"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7.900</w:t>
            </w:r>
          </w:p>
        </w:tc>
        <w:tc>
          <w:tcPr>
            <w:tcW w:w="0" w:type="auto"/>
            <w:shd w:val="clear" w:color="auto" w:fill="auto"/>
            <w:vAlign w:val="center"/>
          </w:tcPr>
          <w:p w14:paraId="0CC64385"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hAnsi="Times New Roman" w:cs="Times New Roman"/>
                <w:color w:val="000000"/>
                <w:szCs w:val="24"/>
              </w:rPr>
              <w:t>16.499</w:t>
            </w:r>
          </w:p>
        </w:tc>
        <w:tc>
          <w:tcPr>
            <w:tcW w:w="0" w:type="auto"/>
            <w:shd w:val="clear" w:color="auto" w:fill="auto"/>
            <w:vAlign w:val="center"/>
            <w:hideMark/>
          </w:tcPr>
          <w:p w14:paraId="2D18F2A6"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22.716</w:t>
            </w:r>
          </w:p>
        </w:tc>
      </w:tr>
      <w:tr w:rsidR="009209FD" w:rsidRPr="00B217CC" w14:paraId="0699D8D1" w14:textId="77777777" w:rsidTr="00B217CC">
        <w:trPr>
          <w:trHeight w:val="267"/>
        </w:trPr>
        <w:tc>
          <w:tcPr>
            <w:tcW w:w="0" w:type="auto"/>
            <w:shd w:val="clear" w:color="auto" w:fill="auto"/>
            <w:vAlign w:val="center"/>
            <w:hideMark/>
          </w:tcPr>
          <w:p w14:paraId="7204D839"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 </w:t>
            </w:r>
          </w:p>
        </w:tc>
        <w:tc>
          <w:tcPr>
            <w:tcW w:w="0" w:type="auto"/>
            <w:shd w:val="clear" w:color="auto" w:fill="auto"/>
            <w:vAlign w:val="center"/>
            <w:hideMark/>
          </w:tcPr>
          <w:p w14:paraId="3EE7FEF0"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[1.181]</w:t>
            </w:r>
          </w:p>
        </w:tc>
        <w:tc>
          <w:tcPr>
            <w:tcW w:w="0" w:type="auto"/>
            <w:shd w:val="clear" w:color="auto" w:fill="auto"/>
            <w:vAlign w:val="center"/>
            <w:hideMark/>
          </w:tcPr>
          <w:p w14:paraId="652C1D2B"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[1.911]</w:t>
            </w:r>
          </w:p>
        </w:tc>
        <w:tc>
          <w:tcPr>
            <w:tcW w:w="0" w:type="auto"/>
            <w:shd w:val="clear" w:color="auto" w:fill="auto"/>
            <w:vAlign w:val="center"/>
            <w:hideMark/>
          </w:tcPr>
          <w:p w14:paraId="6867EE9C"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[8.096]</w:t>
            </w:r>
          </w:p>
        </w:tc>
        <w:tc>
          <w:tcPr>
            <w:tcW w:w="0" w:type="auto"/>
            <w:shd w:val="clear" w:color="auto" w:fill="auto"/>
            <w:vAlign w:val="center"/>
            <w:hideMark/>
          </w:tcPr>
          <w:p w14:paraId="7639B767"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[2.548]</w:t>
            </w:r>
          </w:p>
        </w:tc>
        <w:tc>
          <w:tcPr>
            <w:tcW w:w="0" w:type="auto"/>
            <w:shd w:val="clear" w:color="auto" w:fill="auto"/>
            <w:vAlign w:val="center"/>
          </w:tcPr>
          <w:p w14:paraId="1F3DD75E"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hAnsi="Times New Roman" w:cs="Times New Roman"/>
                <w:color w:val="000000"/>
                <w:szCs w:val="24"/>
              </w:rPr>
              <w:t>[2.105]</w:t>
            </w:r>
          </w:p>
        </w:tc>
        <w:tc>
          <w:tcPr>
            <w:tcW w:w="0" w:type="auto"/>
            <w:shd w:val="clear" w:color="auto" w:fill="auto"/>
            <w:vAlign w:val="center"/>
            <w:hideMark/>
          </w:tcPr>
          <w:p w14:paraId="227BE8AC"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[2.346]</w:t>
            </w:r>
          </w:p>
        </w:tc>
      </w:tr>
      <w:tr w:rsidR="009209FD" w:rsidRPr="00B217CC" w14:paraId="35F96397" w14:textId="77777777" w:rsidTr="00B217CC">
        <w:trPr>
          <w:trHeight w:val="267"/>
        </w:trPr>
        <w:tc>
          <w:tcPr>
            <w:tcW w:w="0" w:type="auto"/>
            <w:shd w:val="clear" w:color="auto" w:fill="auto"/>
            <w:vAlign w:val="center"/>
            <w:hideMark/>
          </w:tcPr>
          <w:p w14:paraId="571F8498"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 </w:t>
            </w:r>
          </w:p>
        </w:tc>
        <w:tc>
          <w:tcPr>
            <w:tcW w:w="0" w:type="auto"/>
            <w:shd w:val="clear" w:color="auto" w:fill="auto"/>
            <w:vAlign w:val="center"/>
            <w:hideMark/>
          </w:tcPr>
          <w:p w14:paraId="6F2E9DAC"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(11.312)***</w:t>
            </w:r>
          </w:p>
        </w:tc>
        <w:tc>
          <w:tcPr>
            <w:tcW w:w="0" w:type="auto"/>
            <w:shd w:val="clear" w:color="auto" w:fill="auto"/>
            <w:vAlign w:val="center"/>
            <w:hideMark/>
          </w:tcPr>
          <w:p w14:paraId="6A63C33F"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(7.536)***</w:t>
            </w:r>
          </w:p>
        </w:tc>
        <w:tc>
          <w:tcPr>
            <w:tcW w:w="0" w:type="auto"/>
            <w:shd w:val="clear" w:color="auto" w:fill="auto"/>
            <w:vAlign w:val="center"/>
            <w:hideMark/>
          </w:tcPr>
          <w:p w14:paraId="10463A28"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(1.305)*</w:t>
            </w:r>
          </w:p>
          <w:p w14:paraId="7131C414"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p>
        </w:tc>
        <w:tc>
          <w:tcPr>
            <w:tcW w:w="0" w:type="auto"/>
            <w:shd w:val="clear" w:color="auto" w:fill="auto"/>
            <w:vAlign w:val="center"/>
            <w:hideMark/>
          </w:tcPr>
          <w:p w14:paraId="1D3C3246"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(3.100)**</w:t>
            </w:r>
          </w:p>
        </w:tc>
        <w:tc>
          <w:tcPr>
            <w:tcW w:w="0" w:type="auto"/>
            <w:shd w:val="clear" w:color="auto" w:fill="auto"/>
            <w:vAlign w:val="center"/>
          </w:tcPr>
          <w:p w14:paraId="29615669"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hAnsi="Times New Roman" w:cs="Times New Roman"/>
                <w:color w:val="000000"/>
                <w:szCs w:val="24"/>
              </w:rPr>
              <w:t>(7.838)***</w:t>
            </w:r>
          </w:p>
        </w:tc>
        <w:tc>
          <w:tcPr>
            <w:tcW w:w="0" w:type="auto"/>
            <w:shd w:val="clear" w:color="auto" w:fill="auto"/>
            <w:vAlign w:val="center"/>
            <w:hideMark/>
          </w:tcPr>
          <w:p w14:paraId="163CCFB7"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(9.682)***</w:t>
            </w:r>
          </w:p>
        </w:tc>
      </w:tr>
      <w:tr w:rsidR="009209FD" w:rsidRPr="00B217CC" w14:paraId="6092EF9F" w14:textId="77777777" w:rsidTr="00B217CC">
        <w:trPr>
          <w:trHeight w:val="427"/>
        </w:trPr>
        <w:tc>
          <w:tcPr>
            <w:tcW w:w="0" w:type="auto"/>
            <w:shd w:val="clear" w:color="auto" w:fill="auto"/>
            <w:vAlign w:val="center"/>
            <w:hideMark/>
          </w:tcPr>
          <w:p w14:paraId="3B6E75F7"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TMP</w:t>
            </w:r>
          </w:p>
        </w:tc>
        <w:tc>
          <w:tcPr>
            <w:tcW w:w="0" w:type="auto"/>
            <w:shd w:val="clear" w:color="auto" w:fill="auto"/>
            <w:vAlign w:val="center"/>
            <w:hideMark/>
          </w:tcPr>
          <w:p w14:paraId="17B063F8"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47.942</w:t>
            </w:r>
          </w:p>
        </w:tc>
        <w:tc>
          <w:tcPr>
            <w:tcW w:w="0" w:type="auto"/>
            <w:shd w:val="clear" w:color="auto" w:fill="auto"/>
            <w:vAlign w:val="center"/>
            <w:hideMark/>
          </w:tcPr>
          <w:p w14:paraId="64F7CF66"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3.728</w:t>
            </w:r>
          </w:p>
        </w:tc>
        <w:tc>
          <w:tcPr>
            <w:tcW w:w="0" w:type="auto"/>
            <w:shd w:val="clear" w:color="auto" w:fill="auto"/>
            <w:vAlign w:val="center"/>
            <w:hideMark/>
          </w:tcPr>
          <w:p w14:paraId="11DC5FA3"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17.048</w:t>
            </w:r>
          </w:p>
        </w:tc>
        <w:tc>
          <w:tcPr>
            <w:tcW w:w="0" w:type="auto"/>
            <w:shd w:val="clear" w:color="auto" w:fill="auto"/>
            <w:vAlign w:val="center"/>
            <w:hideMark/>
          </w:tcPr>
          <w:p w14:paraId="4E4DB30D"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31.504</w:t>
            </w:r>
          </w:p>
        </w:tc>
        <w:tc>
          <w:tcPr>
            <w:tcW w:w="0" w:type="auto"/>
            <w:shd w:val="clear" w:color="auto" w:fill="auto"/>
            <w:vAlign w:val="center"/>
          </w:tcPr>
          <w:p w14:paraId="15DAD477"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hAnsi="Times New Roman" w:cs="Times New Roman"/>
                <w:color w:val="000000"/>
                <w:szCs w:val="24"/>
              </w:rPr>
              <w:t>143.118</w:t>
            </w:r>
          </w:p>
        </w:tc>
        <w:tc>
          <w:tcPr>
            <w:tcW w:w="0" w:type="auto"/>
            <w:shd w:val="clear" w:color="auto" w:fill="auto"/>
            <w:vAlign w:val="center"/>
            <w:hideMark/>
          </w:tcPr>
          <w:p w14:paraId="07158B70"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22.565</w:t>
            </w:r>
          </w:p>
        </w:tc>
      </w:tr>
      <w:tr w:rsidR="009209FD" w:rsidRPr="00B217CC" w14:paraId="36842FF4" w14:textId="77777777" w:rsidTr="00B217CC">
        <w:trPr>
          <w:trHeight w:val="267"/>
        </w:trPr>
        <w:tc>
          <w:tcPr>
            <w:tcW w:w="0" w:type="auto"/>
            <w:shd w:val="clear" w:color="auto" w:fill="auto"/>
            <w:noWrap/>
            <w:vAlign w:val="bottom"/>
            <w:hideMark/>
          </w:tcPr>
          <w:p w14:paraId="7FFF9FD8"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 </w:t>
            </w:r>
          </w:p>
        </w:tc>
        <w:tc>
          <w:tcPr>
            <w:tcW w:w="0" w:type="auto"/>
            <w:shd w:val="clear" w:color="auto" w:fill="auto"/>
            <w:vAlign w:val="center"/>
            <w:hideMark/>
          </w:tcPr>
          <w:p w14:paraId="0CA40FB1"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[51.025]</w:t>
            </w:r>
          </w:p>
        </w:tc>
        <w:tc>
          <w:tcPr>
            <w:tcW w:w="0" w:type="auto"/>
            <w:shd w:val="clear" w:color="auto" w:fill="auto"/>
            <w:vAlign w:val="center"/>
            <w:hideMark/>
          </w:tcPr>
          <w:p w14:paraId="0CFAB446"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[92.847]</w:t>
            </w:r>
          </w:p>
        </w:tc>
        <w:tc>
          <w:tcPr>
            <w:tcW w:w="0" w:type="auto"/>
            <w:shd w:val="clear" w:color="auto" w:fill="auto"/>
            <w:vAlign w:val="center"/>
            <w:hideMark/>
          </w:tcPr>
          <w:p w14:paraId="08E29309"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[151.162]</w:t>
            </w:r>
          </w:p>
        </w:tc>
        <w:tc>
          <w:tcPr>
            <w:tcW w:w="0" w:type="auto"/>
            <w:shd w:val="clear" w:color="auto" w:fill="auto"/>
            <w:vAlign w:val="center"/>
            <w:hideMark/>
          </w:tcPr>
          <w:p w14:paraId="772F7D2F"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[165.798]</w:t>
            </w:r>
          </w:p>
        </w:tc>
        <w:tc>
          <w:tcPr>
            <w:tcW w:w="0" w:type="auto"/>
            <w:shd w:val="clear" w:color="auto" w:fill="auto"/>
            <w:vAlign w:val="center"/>
          </w:tcPr>
          <w:p w14:paraId="73E267C3"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hAnsi="Times New Roman" w:cs="Times New Roman"/>
                <w:color w:val="000000"/>
                <w:szCs w:val="24"/>
              </w:rPr>
              <w:t>[98.852]</w:t>
            </w:r>
          </w:p>
        </w:tc>
        <w:tc>
          <w:tcPr>
            <w:tcW w:w="0" w:type="auto"/>
            <w:shd w:val="clear" w:color="auto" w:fill="auto"/>
            <w:vAlign w:val="center"/>
            <w:hideMark/>
          </w:tcPr>
          <w:p w14:paraId="4FB38F10"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85.591</w:t>
            </w:r>
          </w:p>
        </w:tc>
      </w:tr>
      <w:tr w:rsidR="009209FD" w:rsidRPr="00B217CC" w14:paraId="29EA36BB" w14:textId="77777777" w:rsidTr="00B217CC">
        <w:trPr>
          <w:trHeight w:val="267"/>
        </w:trPr>
        <w:tc>
          <w:tcPr>
            <w:tcW w:w="0" w:type="auto"/>
            <w:shd w:val="clear" w:color="auto" w:fill="auto"/>
            <w:noWrap/>
            <w:vAlign w:val="bottom"/>
            <w:hideMark/>
          </w:tcPr>
          <w:p w14:paraId="08308700"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 </w:t>
            </w:r>
          </w:p>
        </w:tc>
        <w:tc>
          <w:tcPr>
            <w:tcW w:w="0" w:type="auto"/>
            <w:shd w:val="clear" w:color="auto" w:fill="auto"/>
            <w:vAlign w:val="center"/>
            <w:hideMark/>
          </w:tcPr>
          <w:p w14:paraId="48B7B8EE"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(0.940)</w:t>
            </w:r>
          </w:p>
        </w:tc>
        <w:tc>
          <w:tcPr>
            <w:tcW w:w="0" w:type="auto"/>
            <w:shd w:val="clear" w:color="auto" w:fill="auto"/>
            <w:vAlign w:val="center"/>
            <w:hideMark/>
          </w:tcPr>
          <w:p w14:paraId="4B3E6990"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(0.040)</w:t>
            </w:r>
          </w:p>
        </w:tc>
        <w:tc>
          <w:tcPr>
            <w:tcW w:w="0" w:type="auto"/>
            <w:shd w:val="clear" w:color="auto" w:fill="auto"/>
            <w:vAlign w:val="center"/>
            <w:hideMark/>
          </w:tcPr>
          <w:p w14:paraId="346490C1"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(0.113)</w:t>
            </w:r>
          </w:p>
        </w:tc>
        <w:tc>
          <w:tcPr>
            <w:tcW w:w="0" w:type="auto"/>
            <w:shd w:val="clear" w:color="auto" w:fill="auto"/>
            <w:vAlign w:val="center"/>
            <w:hideMark/>
          </w:tcPr>
          <w:p w14:paraId="111214FB"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(0.190)</w:t>
            </w:r>
          </w:p>
        </w:tc>
        <w:tc>
          <w:tcPr>
            <w:tcW w:w="0" w:type="auto"/>
            <w:shd w:val="clear" w:color="auto" w:fill="auto"/>
            <w:vAlign w:val="center"/>
          </w:tcPr>
          <w:p w14:paraId="7DBBA4FE"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hAnsi="Times New Roman" w:cs="Times New Roman"/>
                <w:color w:val="000000"/>
                <w:szCs w:val="24"/>
              </w:rPr>
              <w:t>(1.448)*</w:t>
            </w:r>
          </w:p>
        </w:tc>
        <w:tc>
          <w:tcPr>
            <w:tcW w:w="0" w:type="auto"/>
            <w:shd w:val="clear" w:color="auto" w:fill="auto"/>
            <w:vAlign w:val="center"/>
            <w:hideMark/>
          </w:tcPr>
          <w:p w14:paraId="22B58CE0"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(0.264)</w:t>
            </w:r>
          </w:p>
        </w:tc>
      </w:tr>
      <w:tr w:rsidR="009209FD" w:rsidRPr="00B217CC" w14:paraId="71C17A7D" w14:textId="77777777" w:rsidTr="00B217CC">
        <w:trPr>
          <w:trHeight w:val="267"/>
        </w:trPr>
        <w:tc>
          <w:tcPr>
            <w:tcW w:w="0" w:type="auto"/>
            <w:shd w:val="clear" w:color="auto" w:fill="auto"/>
            <w:noWrap/>
            <w:vAlign w:val="bottom"/>
            <w:hideMark/>
          </w:tcPr>
          <w:p w14:paraId="1942771B"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C</w:t>
            </w:r>
          </w:p>
        </w:tc>
        <w:tc>
          <w:tcPr>
            <w:tcW w:w="0" w:type="auto"/>
            <w:shd w:val="clear" w:color="auto" w:fill="auto"/>
            <w:vAlign w:val="center"/>
            <w:hideMark/>
          </w:tcPr>
          <w:p w14:paraId="25E0121D"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1077.631</w:t>
            </w:r>
          </w:p>
        </w:tc>
        <w:tc>
          <w:tcPr>
            <w:tcW w:w="0" w:type="auto"/>
            <w:shd w:val="clear" w:color="auto" w:fill="auto"/>
            <w:vAlign w:val="center"/>
            <w:hideMark/>
          </w:tcPr>
          <w:p w14:paraId="2023AB11"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1914.781</w:t>
            </w:r>
          </w:p>
        </w:tc>
        <w:tc>
          <w:tcPr>
            <w:tcW w:w="0" w:type="auto"/>
            <w:shd w:val="clear" w:color="auto" w:fill="auto"/>
            <w:vAlign w:val="center"/>
            <w:hideMark/>
          </w:tcPr>
          <w:p w14:paraId="13667E6D"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2105.958</w:t>
            </w:r>
          </w:p>
        </w:tc>
        <w:tc>
          <w:tcPr>
            <w:tcW w:w="0" w:type="auto"/>
            <w:shd w:val="clear" w:color="auto" w:fill="auto"/>
            <w:vAlign w:val="center"/>
            <w:hideMark/>
          </w:tcPr>
          <w:p w14:paraId="5E0CC781"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1035.340</w:t>
            </w:r>
          </w:p>
        </w:tc>
        <w:tc>
          <w:tcPr>
            <w:tcW w:w="0" w:type="auto"/>
            <w:shd w:val="clear" w:color="auto" w:fill="auto"/>
            <w:vAlign w:val="center"/>
            <w:hideMark/>
          </w:tcPr>
          <w:p w14:paraId="2B4E8AA3"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hAnsi="Times New Roman" w:cs="Times New Roman"/>
                <w:color w:val="000000"/>
                <w:szCs w:val="24"/>
              </w:rPr>
              <w:t>202.391</w:t>
            </w:r>
          </w:p>
        </w:tc>
        <w:tc>
          <w:tcPr>
            <w:tcW w:w="0" w:type="auto"/>
            <w:shd w:val="clear" w:color="auto" w:fill="auto"/>
            <w:vAlign w:val="center"/>
            <w:hideMark/>
          </w:tcPr>
          <w:p w14:paraId="7F2962D5"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-106.806</w:t>
            </w:r>
          </w:p>
        </w:tc>
      </w:tr>
      <w:tr w:rsidR="009209FD" w:rsidRPr="00B217CC" w14:paraId="6DB21221" w14:textId="77777777" w:rsidTr="00B217CC">
        <w:trPr>
          <w:trHeight w:val="267"/>
        </w:trPr>
        <w:tc>
          <w:tcPr>
            <w:tcW w:w="0" w:type="auto"/>
            <w:shd w:val="clear" w:color="auto" w:fill="auto"/>
            <w:noWrap/>
            <w:vAlign w:val="bottom"/>
            <w:hideMark/>
          </w:tcPr>
          <w:p w14:paraId="26850A05"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 </w:t>
            </w:r>
          </w:p>
        </w:tc>
        <w:tc>
          <w:tcPr>
            <w:tcW w:w="0" w:type="auto"/>
            <w:shd w:val="clear" w:color="auto" w:fill="auto"/>
            <w:vAlign w:val="center"/>
            <w:hideMark/>
          </w:tcPr>
          <w:p w14:paraId="58DE17FD"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[126.440]</w:t>
            </w:r>
          </w:p>
        </w:tc>
        <w:tc>
          <w:tcPr>
            <w:tcW w:w="0" w:type="auto"/>
            <w:shd w:val="clear" w:color="auto" w:fill="auto"/>
            <w:vAlign w:val="center"/>
            <w:hideMark/>
          </w:tcPr>
          <w:p w14:paraId="5B4B2B43"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[273.338]</w:t>
            </w:r>
          </w:p>
        </w:tc>
        <w:tc>
          <w:tcPr>
            <w:tcW w:w="0" w:type="auto"/>
            <w:shd w:val="clear" w:color="auto" w:fill="auto"/>
            <w:vAlign w:val="center"/>
            <w:hideMark/>
          </w:tcPr>
          <w:p w14:paraId="6DC787D2"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[278.946]</w:t>
            </w:r>
          </w:p>
        </w:tc>
        <w:tc>
          <w:tcPr>
            <w:tcW w:w="0" w:type="auto"/>
            <w:shd w:val="clear" w:color="auto" w:fill="auto"/>
            <w:vAlign w:val="center"/>
            <w:hideMark/>
          </w:tcPr>
          <w:p w14:paraId="1AB2855E"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[382.076]</w:t>
            </w:r>
          </w:p>
        </w:tc>
        <w:tc>
          <w:tcPr>
            <w:tcW w:w="0" w:type="auto"/>
            <w:shd w:val="clear" w:color="auto" w:fill="auto"/>
            <w:vAlign w:val="center"/>
          </w:tcPr>
          <w:p w14:paraId="4DB32736"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hAnsi="Times New Roman" w:cs="Times New Roman"/>
                <w:color w:val="000000"/>
                <w:szCs w:val="24"/>
              </w:rPr>
              <w:t>[253.484]</w:t>
            </w:r>
          </w:p>
        </w:tc>
        <w:tc>
          <w:tcPr>
            <w:tcW w:w="0" w:type="auto"/>
            <w:shd w:val="clear" w:color="auto" w:fill="auto"/>
            <w:vAlign w:val="center"/>
            <w:hideMark/>
          </w:tcPr>
          <w:p w14:paraId="6CF42811"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456.304</w:t>
            </w:r>
          </w:p>
        </w:tc>
      </w:tr>
      <w:tr w:rsidR="009209FD" w:rsidRPr="00B217CC" w14:paraId="6F823CC5" w14:textId="77777777" w:rsidTr="00B217CC">
        <w:trPr>
          <w:trHeight w:val="267"/>
        </w:trPr>
        <w:tc>
          <w:tcPr>
            <w:tcW w:w="0" w:type="auto"/>
            <w:shd w:val="clear" w:color="auto" w:fill="auto"/>
            <w:noWrap/>
            <w:vAlign w:val="bottom"/>
            <w:hideMark/>
          </w:tcPr>
          <w:p w14:paraId="636E62DD"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 </w:t>
            </w:r>
          </w:p>
        </w:tc>
        <w:tc>
          <w:tcPr>
            <w:tcW w:w="0" w:type="auto"/>
            <w:shd w:val="clear" w:color="auto" w:fill="auto"/>
            <w:vAlign w:val="center"/>
            <w:hideMark/>
          </w:tcPr>
          <w:p w14:paraId="1CD3A143"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(8.523)***</w:t>
            </w:r>
          </w:p>
        </w:tc>
        <w:tc>
          <w:tcPr>
            <w:tcW w:w="0" w:type="auto"/>
            <w:shd w:val="clear" w:color="auto" w:fill="auto"/>
            <w:vAlign w:val="center"/>
            <w:hideMark/>
          </w:tcPr>
          <w:p w14:paraId="7DDE4D2B"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(7.005)***</w:t>
            </w:r>
          </w:p>
        </w:tc>
        <w:tc>
          <w:tcPr>
            <w:tcW w:w="0" w:type="auto"/>
            <w:shd w:val="clear" w:color="auto" w:fill="auto"/>
            <w:vAlign w:val="center"/>
            <w:hideMark/>
          </w:tcPr>
          <w:p w14:paraId="544375E9"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(7.550)***</w:t>
            </w:r>
          </w:p>
        </w:tc>
        <w:tc>
          <w:tcPr>
            <w:tcW w:w="0" w:type="auto"/>
            <w:shd w:val="clear" w:color="auto" w:fill="auto"/>
            <w:vAlign w:val="center"/>
            <w:hideMark/>
          </w:tcPr>
          <w:p w14:paraId="3B0F5F42"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(2.710)*</w:t>
            </w:r>
          </w:p>
        </w:tc>
        <w:tc>
          <w:tcPr>
            <w:tcW w:w="0" w:type="auto"/>
            <w:shd w:val="clear" w:color="auto" w:fill="auto"/>
            <w:vAlign w:val="center"/>
          </w:tcPr>
          <w:p w14:paraId="57C64B3B"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hAnsi="Times New Roman" w:cs="Times New Roman"/>
                <w:color w:val="000000"/>
                <w:szCs w:val="24"/>
              </w:rPr>
              <w:t>(0.798)</w:t>
            </w:r>
          </w:p>
        </w:tc>
        <w:tc>
          <w:tcPr>
            <w:tcW w:w="0" w:type="auto"/>
            <w:shd w:val="clear" w:color="auto" w:fill="auto"/>
            <w:vAlign w:val="center"/>
            <w:hideMark/>
          </w:tcPr>
          <w:p w14:paraId="6D40F19E"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-0.234</w:t>
            </w:r>
          </w:p>
        </w:tc>
      </w:tr>
      <w:tr w:rsidR="009209FD" w:rsidRPr="00B217CC" w14:paraId="7BEE9A78" w14:textId="77777777" w:rsidTr="00B217CC">
        <w:trPr>
          <w:trHeight w:val="427"/>
        </w:trPr>
        <w:tc>
          <w:tcPr>
            <w:tcW w:w="0" w:type="auto"/>
            <w:shd w:val="clear" w:color="auto" w:fill="auto"/>
            <w:vAlign w:val="center"/>
            <w:hideMark/>
          </w:tcPr>
          <w:p w14:paraId="726253DD"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R-squared</w:t>
            </w:r>
          </w:p>
        </w:tc>
        <w:tc>
          <w:tcPr>
            <w:tcW w:w="0" w:type="auto"/>
            <w:shd w:val="clear" w:color="auto" w:fill="auto"/>
            <w:vAlign w:val="center"/>
            <w:hideMark/>
          </w:tcPr>
          <w:p w14:paraId="413840B1"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0.520</w:t>
            </w:r>
          </w:p>
        </w:tc>
        <w:tc>
          <w:tcPr>
            <w:tcW w:w="0" w:type="auto"/>
            <w:shd w:val="clear" w:color="auto" w:fill="auto"/>
            <w:vAlign w:val="center"/>
            <w:hideMark/>
          </w:tcPr>
          <w:p w14:paraId="2616A670"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0.608</w:t>
            </w:r>
          </w:p>
        </w:tc>
        <w:tc>
          <w:tcPr>
            <w:tcW w:w="0" w:type="auto"/>
            <w:shd w:val="clear" w:color="auto" w:fill="auto"/>
            <w:vAlign w:val="center"/>
            <w:hideMark/>
          </w:tcPr>
          <w:p w14:paraId="4DFBCBE3"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0.445</w:t>
            </w:r>
          </w:p>
        </w:tc>
        <w:tc>
          <w:tcPr>
            <w:tcW w:w="0" w:type="auto"/>
            <w:shd w:val="clear" w:color="auto" w:fill="auto"/>
            <w:vAlign w:val="center"/>
            <w:hideMark/>
          </w:tcPr>
          <w:p w14:paraId="4FC99BF4"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0.421</w:t>
            </w:r>
          </w:p>
        </w:tc>
        <w:tc>
          <w:tcPr>
            <w:tcW w:w="0" w:type="auto"/>
            <w:shd w:val="clear" w:color="auto" w:fill="auto"/>
            <w:vAlign w:val="bottom"/>
          </w:tcPr>
          <w:p w14:paraId="0470CD57" w14:textId="77777777" w:rsidR="009209FD" w:rsidRPr="00B217CC" w:rsidRDefault="009209FD" w:rsidP="00212DDD">
            <w:pPr>
              <w:autoSpaceDE w:val="0"/>
              <w:autoSpaceDN w:val="0"/>
              <w:adjustRightInd w:val="0"/>
              <w:spacing w:line="240" w:lineRule="auto"/>
              <w:ind w:right="10"/>
              <w:jc w:val="both"/>
              <w:rPr>
                <w:rFonts w:ascii="Times New Roman" w:hAnsi="Times New Roman" w:cs="Times New Roman"/>
                <w:color w:val="000000"/>
                <w:szCs w:val="24"/>
              </w:rPr>
            </w:pPr>
            <w:r w:rsidRPr="00B217CC">
              <w:rPr>
                <w:rFonts w:ascii="Times New Roman" w:hAnsi="Times New Roman" w:cs="Times New Roman"/>
                <w:color w:val="000000"/>
                <w:szCs w:val="24"/>
              </w:rPr>
              <w:t>0.582</w:t>
            </w:r>
          </w:p>
        </w:tc>
        <w:tc>
          <w:tcPr>
            <w:tcW w:w="0" w:type="auto"/>
            <w:shd w:val="clear" w:color="auto" w:fill="auto"/>
            <w:vAlign w:val="center"/>
            <w:hideMark/>
          </w:tcPr>
          <w:p w14:paraId="76823315"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0.293</w:t>
            </w:r>
          </w:p>
        </w:tc>
      </w:tr>
      <w:tr w:rsidR="009209FD" w:rsidRPr="00B217CC" w14:paraId="01026D14" w14:textId="77777777" w:rsidTr="00B217CC">
        <w:trPr>
          <w:trHeight w:val="640"/>
        </w:trPr>
        <w:tc>
          <w:tcPr>
            <w:tcW w:w="0" w:type="auto"/>
            <w:shd w:val="clear" w:color="auto" w:fill="auto"/>
            <w:vAlign w:val="center"/>
            <w:hideMark/>
          </w:tcPr>
          <w:p w14:paraId="0BA8F8BD"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Adjusted R-squared</w:t>
            </w:r>
          </w:p>
        </w:tc>
        <w:tc>
          <w:tcPr>
            <w:tcW w:w="0" w:type="auto"/>
            <w:shd w:val="clear" w:color="auto" w:fill="auto"/>
            <w:vAlign w:val="center"/>
            <w:hideMark/>
          </w:tcPr>
          <w:p w14:paraId="6C5B29F9"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0.496</w:t>
            </w:r>
          </w:p>
        </w:tc>
        <w:tc>
          <w:tcPr>
            <w:tcW w:w="0" w:type="auto"/>
            <w:shd w:val="clear" w:color="auto" w:fill="auto"/>
            <w:vAlign w:val="center"/>
            <w:hideMark/>
          </w:tcPr>
          <w:p w14:paraId="006621F5"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0.570</w:t>
            </w:r>
          </w:p>
        </w:tc>
        <w:tc>
          <w:tcPr>
            <w:tcW w:w="0" w:type="auto"/>
            <w:shd w:val="clear" w:color="auto" w:fill="auto"/>
            <w:vAlign w:val="center"/>
            <w:hideMark/>
          </w:tcPr>
          <w:p w14:paraId="69316814"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0.395</w:t>
            </w:r>
          </w:p>
        </w:tc>
        <w:tc>
          <w:tcPr>
            <w:tcW w:w="0" w:type="auto"/>
            <w:shd w:val="clear" w:color="auto" w:fill="auto"/>
            <w:vAlign w:val="center"/>
            <w:hideMark/>
          </w:tcPr>
          <w:p w14:paraId="2772AA53"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0.377</w:t>
            </w:r>
          </w:p>
        </w:tc>
        <w:tc>
          <w:tcPr>
            <w:tcW w:w="0" w:type="auto"/>
            <w:shd w:val="clear" w:color="auto" w:fill="auto"/>
            <w:vAlign w:val="bottom"/>
          </w:tcPr>
          <w:p w14:paraId="74FCF8F5" w14:textId="77777777" w:rsidR="009209FD" w:rsidRPr="00B217CC" w:rsidRDefault="009209FD" w:rsidP="00212DDD">
            <w:pPr>
              <w:autoSpaceDE w:val="0"/>
              <w:autoSpaceDN w:val="0"/>
              <w:adjustRightInd w:val="0"/>
              <w:spacing w:line="240" w:lineRule="auto"/>
              <w:ind w:right="10"/>
              <w:jc w:val="both"/>
              <w:rPr>
                <w:rFonts w:ascii="Times New Roman" w:hAnsi="Times New Roman" w:cs="Times New Roman"/>
                <w:color w:val="000000"/>
                <w:szCs w:val="24"/>
              </w:rPr>
            </w:pPr>
            <w:r w:rsidRPr="00B217CC">
              <w:rPr>
                <w:rFonts w:ascii="Times New Roman" w:hAnsi="Times New Roman" w:cs="Times New Roman"/>
                <w:color w:val="000000"/>
                <w:szCs w:val="24"/>
              </w:rPr>
              <w:t>0.557</w:t>
            </w:r>
          </w:p>
        </w:tc>
        <w:tc>
          <w:tcPr>
            <w:tcW w:w="0" w:type="auto"/>
            <w:shd w:val="clear" w:color="auto" w:fill="auto"/>
            <w:vAlign w:val="center"/>
            <w:hideMark/>
          </w:tcPr>
          <w:p w14:paraId="27E7C1CC"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0.250</w:t>
            </w:r>
          </w:p>
        </w:tc>
      </w:tr>
      <w:tr w:rsidR="009209FD" w:rsidRPr="00B217CC" w14:paraId="1BCAFD25" w14:textId="77777777" w:rsidTr="00B217CC">
        <w:trPr>
          <w:trHeight w:val="267"/>
        </w:trPr>
        <w:tc>
          <w:tcPr>
            <w:tcW w:w="0" w:type="auto"/>
            <w:shd w:val="clear" w:color="auto" w:fill="auto"/>
            <w:noWrap/>
            <w:vAlign w:val="bottom"/>
            <w:hideMark/>
          </w:tcPr>
          <w:p w14:paraId="551F540F"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F-statistics</w:t>
            </w:r>
          </w:p>
        </w:tc>
        <w:tc>
          <w:tcPr>
            <w:tcW w:w="0" w:type="auto"/>
            <w:shd w:val="clear" w:color="auto" w:fill="auto"/>
            <w:vAlign w:val="center"/>
            <w:hideMark/>
          </w:tcPr>
          <w:p w14:paraId="2DE89B58"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21.601***</w:t>
            </w:r>
          </w:p>
        </w:tc>
        <w:tc>
          <w:tcPr>
            <w:tcW w:w="0" w:type="auto"/>
            <w:shd w:val="clear" w:color="auto" w:fill="auto"/>
            <w:noWrap/>
            <w:vAlign w:val="bottom"/>
            <w:hideMark/>
          </w:tcPr>
          <w:p w14:paraId="4F9C4061"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16.105***</w:t>
            </w:r>
          </w:p>
        </w:tc>
        <w:tc>
          <w:tcPr>
            <w:tcW w:w="0" w:type="auto"/>
            <w:shd w:val="clear" w:color="auto" w:fill="auto"/>
            <w:noWrap/>
            <w:vAlign w:val="bottom"/>
            <w:hideMark/>
          </w:tcPr>
          <w:p w14:paraId="385EB908"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9.023***</w:t>
            </w:r>
          </w:p>
        </w:tc>
        <w:tc>
          <w:tcPr>
            <w:tcW w:w="0" w:type="auto"/>
            <w:shd w:val="clear" w:color="auto" w:fill="auto"/>
            <w:noWrap/>
            <w:vAlign w:val="bottom"/>
            <w:hideMark/>
          </w:tcPr>
          <w:p w14:paraId="24ED420C"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9.525***</w:t>
            </w:r>
          </w:p>
        </w:tc>
        <w:tc>
          <w:tcPr>
            <w:tcW w:w="0" w:type="auto"/>
            <w:shd w:val="clear" w:color="auto" w:fill="auto"/>
            <w:noWrap/>
            <w:vAlign w:val="bottom"/>
          </w:tcPr>
          <w:p w14:paraId="3D0B8D8B"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hAnsi="Times New Roman" w:cs="Times New Roman"/>
                <w:color w:val="000000"/>
                <w:szCs w:val="24"/>
              </w:rPr>
              <w:t>22.935***</w:t>
            </w:r>
          </w:p>
        </w:tc>
        <w:tc>
          <w:tcPr>
            <w:tcW w:w="0" w:type="auto"/>
            <w:shd w:val="clear" w:color="auto" w:fill="auto"/>
            <w:noWrap/>
            <w:vAlign w:val="bottom"/>
            <w:hideMark/>
          </w:tcPr>
          <w:p w14:paraId="7F41D666"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6.828***</w:t>
            </w:r>
          </w:p>
        </w:tc>
      </w:tr>
      <w:tr w:rsidR="009209FD" w:rsidRPr="00B217CC" w14:paraId="61CED639" w14:textId="77777777" w:rsidTr="00B217CC">
        <w:trPr>
          <w:trHeight w:val="640"/>
        </w:trPr>
        <w:tc>
          <w:tcPr>
            <w:tcW w:w="0" w:type="auto"/>
            <w:shd w:val="clear" w:color="auto" w:fill="auto"/>
            <w:vAlign w:val="center"/>
            <w:hideMark/>
          </w:tcPr>
          <w:p w14:paraId="555E321B"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    </w:t>
            </w:r>
            <w:proofErr w:type="spellStart"/>
            <w:r w:rsidRPr="00B217CC">
              <w:rPr>
                <w:rFonts w:ascii="Times New Roman" w:eastAsia="Times New Roman" w:hAnsi="Times New Roman" w:cs="Times New Roman"/>
                <w:color w:val="000000"/>
                <w:szCs w:val="24"/>
              </w:rPr>
              <w:t>Akaike</w:t>
            </w:r>
            <w:proofErr w:type="spellEnd"/>
            <w:r w:rsidRPr="00B217CC">
              <w:rPr>
                <w:rFonts w:ascii="Times New Roman" w:eastAsia="Times New Roman" w:hAnsi="Times New Roman" w:cs="Times New Roman"/>
                <w:color w:val="000000"/>
                <w:szCs w:val="24"/>
              </w:rPr>
              <w:t xml:space="preserve"> info criterion</w:t>
            </w:r>
          </w:p>
        </w:tc>
        <w:tc>
          <w:tcPr>
            <w:tcW w:w="0" w:type="auto"/>
            <w:shd w:val="clear" w:color="auto" w:fill="auto"/>
            <w:vAlign w:val="center"/>
            <w:hideMark/>
          </w:tcPr>
          <w:p w14:paraId="19B52275"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15.658</w:t>
            </w:r>
          </w:p>
        </w:tc>
        <w:tc>
          <w:tcPr>
            <w:tcW w:w="0" w:type="auto"/>
            <w:shd w:val="clear" w:color="auto" w:fill="auto"/>
            <w:vAlign w:val="center"/>
            <w:hideMark/>
          </w:tcPr>
          <w:p w14:paraId="54F7A484"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14.753</w:t>
            </w:r>
          </w:p>
        </w:tc>
        <w:tc>
          <w:tcPr>
            <w:tcW w:w="0" w:type="auto"/>
            <w:shd w:val="clear" w:color="auto" w:fill="auto"/>
            <w:vAlign w:val="center"/>
            <w:hideMark/>
          </w:tcPr>
          <w:p w14:paraId="3B6F36C4"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16.224</w:t>
            </w:r>
          </w:p>
        </w:tc>
        <w:tc>
          <w:tcPr>
            <w:tcW w:w="0" w:type="auto"/>
            <w:shd w:val="clear" w:color="auto" w:fill="auto"/>
            <w:vAlign w:val="center"/>
            <w:hideMark/>
          </w:tcPr>
          <w:p w14:paraId="3494DCBD"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15.619</w:t>
            </w:r>
          </w:p>
        </w:tc>
        <w:tc>
          <w:tcPr>
            <w:tcW w:w="0" w:type="auto"/>
            <w:shd w:val="clear" w:color="auto" w:fill="auto"/>
            <w:vAlign w:val="bottom"/>
          </w:tcPr>
          <w:p w14:paraId="4DE508D7" w14:textId="77777777" w:rsidR="009209FD" w:rsidRPr="00B217CC" w:rsidRDefault="009209FD" w:rsidP="00212DDD">
            <w:pPr>
              <w:autoSpaceDE w:val="0"/>
              <w:autoSpaceDN w:val="0"/>
              <w:adjustRightInd w:val="0"/>
              <w:spacing w:line="240" w:lineRule="auto"/>
              <w:ind w:right="10"/>
              <w:jc w:val="both"/>
              <w:rPr>
                <w:rFonts w:ascii="Times New Roman" w:hAnsi="Times New Roman" w:cs="Times New Roman"/>
                <w:color w:val="000000"/>
                <w:szCs w:val="24"/>
              </w:rPr>
            </w:pPr>
            <w:r w:rsidRPr="00B217CC">
              <w:rPr>
                <w:rFonts w:ascii="Times New Roman" w:hAnsi="Times New Roman" w:cs="Times New Roman"/>
                <w:color w:val="000000"/>
                <w:szCs w:val="24"/>
              </w:rPr>
              <w:t>15.743</w:t>
            </w:r>
          </w:p>
        </w:tc>
        <w:tc>
          <w:tcPr>
            <w:tcW w:w="0" w:type="auto"/>
            <w:shd w:val="clear" w:color="auto" w:fill="auto"/>
            <w:vAlign w:val="center"/>
            <w:hideMark/>
          </w:tcPr>
          <w:p w14:paraId="6690F333"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15.284</w:t>
            </w:r>
          </w:p>
        </w:tc>
      </w:tr>
      <w:tr w:rsidR="009209FD" w:rsidRPr="00B217CC" w14:paraId="50F02D0D" w14:textId="77777777" w:rsidTr="00B217CC">
        <w:trPr>
          <w:trHeight w:val="427"/>
        </w:trPr>
        <w:tc>
          <w:tcPr>
            <w:tcW w:w="0" w:type="auto"/>
            <w:shd w:val="clear" w:color="auto" w:fill="auto"/>
            <w:vAlign w:val="center"/>
            <w:hideMark/>
          </w:tcPr>
          <w:p w14:paraId="56FD3BB9"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    Schwarz criterion</w:t>
            </w:r>
          </w:p>
        </w:tc>
        <w:tc>
          <w:tcPr>
            <w:tcW w:w="0" w:type="auto"/>
            <w:shd w:val="clear" w:color="auto" w:fill="auto"/>
            <w:vAlign w:val="center"/>
            <w:hideMark/>
          </w:tcPr>
          <w:p w14:paraId="4BE8FB14"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15.904</w:t>
            </w:r>
          </w:p>
        </w:tc>
        <w:tc>
          <w:tcPr>
            <w:tcW w:w="0" w:type="auto"/>
            <w:shd w:val="clear" w:color="auto" w:fill="auto"/>
            <w:vAlign w:val="center"/>
            <w:hideMark/>
          </w:tcPr>
          <w:p w14:paraId="43F5040F"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15.016</w:t>
            </w:r>
          </w:p>
        </w:tc>
        <w:tc>
          <w:tcPr>
            <w:tcW w:w="0" w:type="auto"/>
            <w:shd w:val="clear" w:color="auto" w:fill="auto"/>
            <w:vAlign w:val="center"/>
            <w:hideMark/>
          </w:tcPr>
          <w:p w14:paraId="29A98C77"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16.48062</w:t>
            </w:r>
          </w:p>
        </w:tc>
        <w:tc>
          <w:tcPr>
            <w:tcW w:w="0" w:type="auto"/>
            <w:shd w:val="clear" w:color="auto" w:fill="auto"/>
            <w:vAlign w:val="center"/>
            <w:hideMark/>
          </w:tcPr>
          <w:p w14:paraId="687E82FA"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15.863</w:t>
            </w:r>
          </w:p>
        </w:tc>
        <w:tc>
          <w:tcPr>
            <w:tcW w:w="0" w:type="auto"/>
            <w:shd w:val="clear" w:color="auto" w:fill="auto"/>
            <w:vAlign w:val="bottom"/>
          </w:tcPr>
          <w:p w14:paraId="5873912D" w14:textId="77777777" w:rsidR="009209FD" w:rsidRPr="00B217CC" w:rsidRDefault="009209FD" w:rsidP="00212DDD">
            <w:pPr>
              <w:autoSpaceDE w:val="0"/>
              <w:autoSpaceDN w:val="0"/>
              <w:adjustRightInd w:val="0"/>
              <w:spacing w:line="240" w:lineRule="auto"/>
              <w:ind w:right="10"/>
              <w:jc w:val="both"/>
              <w:rPr>
                <w:rFonts w:ascii="Times New Roman" w:hAnsi="Times New Roman" w:cs="Times New Roman"/>
                <w:color w:val="000000"/>
                <w:szCs w:val="24"/>
              </w:rPr>
            </w:pPr>
            <w:r w:rsidRPr="00B217CC">
              <w:rPr>
                <w:rFonts w:ascii="Times New Roman" w:hAnsi="Times New Roman" w:cs="Times New Roman"/>
                <w:color w:val="000000"/>
                <w:szCs w:val="24"/>
              </w:rPr>
              <w:t>15.976</w:t>
            </w:r>
          </w:p>
        </w:tc>
        <w:tc>
          <w:tcPr>
            <w:tcW w:w="0" w:type="auto"/>
            <w:shd w:val="clear" w:color="auto" w:fill="auto"/>
            <w:vAlign w:val="center"/>
            <w:hideMark/>
          </w:tcPr>
          <w:p w14:paraId="64955BD0"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15.518</w:t>
            </w:r>
          </w:p>
        </w:tc>
      </w:tr>
      <w:tr w:rsidR="009209FD" w:rsidRPr="00B217CC" w14:paraId="4670D4C3" w14:textId="77777777" w:rsidTr="00B217CC">
        <w:trPr>
          <w:trHeight w:val="640"/>
        </w:trPr>
        <w:tc>
          <w:tcPr>
            <w:tcW w:w="0" w:type="auto"/>
            <w:shd w:val="clear" w:color="auto" w:fill="auto"/>
            <w:vAlign w:val="center"/>
            <w:hideMark/>
          </w:tcPr>
          <w:p w14:paraId="28FD3A8B"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    </w:t>
            </w:r>
            <w:proofErr w:type="spellStart"/>
            <w:r w:rsidRPr="00B217CC">
              <w:rPr>
                <w:rFonts w:ascii="Times New Roman" w:eastAsia="Times New Roman" w:hAnsi="Times New Roman" w:cs="Times New Roman"/>
                <w:color w:val="000000"/>
                <w:szCs w:val="24"/>
              </w:rPr>
              <w:t>Hannan</w:t>
            </w:r>
            <w:proofErr w:type="spellEnd"/>
            <w:r w:rsidRPr="00B217CC">
              <w:rPr>
                <w:rFonts w:ascii="Times New Roman" w:eastAsia="Times New Roman" w:hAnsi="Times New Roman" w:cs="Times New Roman"/>
                <w:color w:val="000000"/>
                <w:szCs w:val="24"/>
              </w:rPr>
              <w:t xml:space="preserve">-Quinn </w:t>
            </w:r>
            <w:proofErr w:type="spellStart"/>
            <w:r w:rsidRPr="00B217CC">
              <w:rPr>
                <w:rFonts w:ascii="Times New Roman" w:eastAsia="Times New Roman" w:hAnsi="Times New Roman" w:cs="Times New Roman"/>
                <w:color w:val="000000"/>
                <w:szCs w:val="24"/>
              </w:rPr>
              <w:t>criter</w:t>
            </w:r>
            <w:proofErr w:type="spellEnd"/>
            <w:r w:rsidRPr="00B217CC">
              <w:rPr>
                <w:rFonts w:ascii="Times New Roman" w:eastAsia="Times New Roman" w:hAnsi="Times New Roman" w:cs="Times New Roman"/>
                <w:color w:val="000000"/>
                <w:szCs w:val="24"/>
              </w:rPr>
              <w:t>.</w:t>
            </w:r>
          </w:p>
        </w:tc>
        <w:tc>
          <w:tcPr>
            <w:tcW w:w="0" w:type="auto"/>
            <w:shd w:val="clear" w:color="auto" w:fill="auto"/>
            <w:vAlign w:val="center"/>
            <w:hideMark/>
          </w:tcPr>
          <w:p w14:paraId="15BBB2C7"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15.751</w:t>
            </w:r>
          </w:p>
        </w:tc>
        <w:tc>
          <w:tcPr>
            <w:tcW w:w="0" w:type="auto"/>
            <w:shd w:val="clear" w:color="auto" w:fill="auto"/>
            <w:vAlign w:val="center"/>
            <w:hideMark/>
          </w:tcPr>
          <w:p w14:paraId="5CC62C52"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14.860</w:t>
            </w:r>
          </w:p>
        </w:tc>
        <w:tc>
          <w:tcPr>
            <w:tcW w:w="0" w:type="auto"/>
            <w:shd w:val="clear" w:color="auto" w:fill="auto"/>
            <w:vAlign w:val="center"/>
            <w:hideMark/>
          </w:tcPr>
          <w:p w14:paraId="399F3030"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16.328</w:t>
            </w:r>
          </w:p>
        </w:tc>
        <w:tc>
          <w:tcPr>
            <w:tcW w:w="0" w:type="auto"/>
            <w:shd w:val="clear" w:color="auto" w:fill="auto"/>
            <w:vAlign w:val="center"/>
            <w:hideMark/>
          </w:tcPr>
          <w:p w14:paraId="2B087895"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15.718</w:t>
            </w:r>
          </w:p>
        </w:tc>
        <w:tc>
          <w:tcPr>
            <w:tcW w:w="0" w:type="auto"/>
            <w:shd w:val="clear" w:color="auto" w:fill="auto"/>
            <w:vAlign w:val="bottom"/>
          </w:tcPr>
          <w:p w14:paraId="7F06A91E" w14:textId="77777777" w:rsidR="009209FD" w:rsidRPr="00B217CC" w:rsidRDefault="009209FD" w:rsidP="00212DDD">
            <w:pPr>
              <w:autoSpaceDE w:val="0"/>
              <w:autoSpaceDN w:val="0"/>
              <w:adjustRightInd w:val="0"/>
              <w:spacing w:line="240" w:lineRule="auto"/>
              <w:ind w:right="10"/>
              <w:jc w:val="both"/>
              <w:rPr>
                <w:rFonts w:ascii="Times New Roman" w:hAnsi="Times New Roman" w:cs="Times New Roman"/>
                <w:color w:val="000000"/>
                <w:szCs w:val="24"/>
              </w:rPr>
            </w:pPr>
            <w:r w:rsidRPr="00B217CC">
              <w:rPr>
                <w:rFonts w:ascii="Times New Roman" w:hAnsi="Times New Roman" w:cs="Times New Roman"/>
                <w:color w:val="000000"/>
                <w:szCs w:val="24"/>
              </w:rPr>
              <w:t>15.835</w:t>
            </w:r>
          </w:p>
        </w:tc>
        <w:tc>
          <w:tcPr>
            <w:tcW w:w="0" w:type="auto"/>
            <w:shd w:val="clear" w:color="auto" w:fill="auto"/>
            <w:vAlign w:val="center"/>
            <w:hideMark/>
          </w:tcPr>
          <w:p w14:paraId="3D92DE8E"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15.377</w:t>
            </w:r>
          </w:p>
        </w:tc>
      </w:tr>
      <w:tr w:rsidR="009209FD" w:rsidRPr="00B217CC" w14:paraId="2AC00A44" w14:textId="77777777" w:rsidTr="00B217CC">
        <w:trPr>
          <w:trHeight w:val="83"/>
        </w:trPr>
        <w:tc>
          <w:tcPr>
            <w:tcW w:w="0" w:type="auto"/>
            <w:shd w:val="clear" w:color="auto" w:fill="auto"/>
            <w:vAlign w:val="center"/>
            <w:hideMark/>
          </w:tcPr>
          <w:p w14:paraId="719F1B3F"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    Durbin-Watson stat</w:t>
            </w:r>
          </w:p>
        </w:tc>
        <w:tc>
          <w:tcPr>
            <w:tcW w:w="0" w:type="auto"/>
            <w:shd w:val="clear" w:color="auto" w:fill="auto"/>
            <w:vAlign w:val="center"/>
            <w:hideMark/>
          </w:tcPr>
          <w:p w14:paraId="7FE53AFE"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0.766</w:t>
            </w:r>
          </w:p>
        </w:tc>
        <w:tc>
          <w:tcPr>
            <w:tcW w:w="0" w:type="auto"/>
            <w:shd w:val="clear" w:color="auto" w:fill="auto"/>
            <w:vAlign w:val="center"/>
            <w:hideMark/>
          </w:tcPr>
          <w:p w14:paraId="18150CE6"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1.170</w:t>
            </w:r>
          </w:p>
        </w:tc>
        <w:tc>
          <w:tcPr>
            <w:tcW w:w="0" w:type="auto"/>
            <w:shd w:val="clear" w:color="auto" w:fill="auto"/>
            <w:vAlign w:val="center"/>
            <w:hideMark/>
          </w:tcPr>
          <w:p w14:paraId="7A9C994F"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0.642</w:t>
            </w:r>
          </w:p>
        </w:tc>
        <w:tc>
          <w:tcPr>
            <w:tcW w:w="0" w:type="auto"/>
            <w:shd w:val="clear" w:color="auto" w:fill="auto"/>
            <w:vAlign w:val="center"/>
            <w:hideMark/>
          </w:tcPr>
          <w:p w14:paraId="64B27005"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0.722</w:t>
            </w:r>
          </w:p>
        </w:tc>
        <w:tc>
          <w:tcPr>
            <w:tcW w:w="0" w:type="auto"/>
            <w:shd w:val="clear" w:color="auto" w:fill="auto"/>
            <w:vAlign w:val="bottom"/>
          </w:tcPr>
          <w:p w14:paraId="2C80677A" w14:textId="77777777" w:rsidR="009209FD" w:rsidRPr="00B217CC" w:rsidRDefault="009209FD" w:rsidP="00212DDD">
            <w:pPr>
              <w:autoSpaceDE w:val="0"/>
              <w:autoSpaceDN w:val="0"/>
              <w:adjustRightInd w:val="0"/>
              <w:spacing w:line="240" w:lineRule="auto"/>
              <w:ind w:right="10"/>
              <w:jc w:val="both"/>
              <w:rPr>
                <w:rFonts w:ascii="Times New Roman" w:hAnsi="Times New Roman" w:cs="Times New Roman"/>
                <w:color w:val="000000"/>
                <w:szCs w:val="24"/>
              </w:rPr>
            </w:pPr>
            <w:r w:rsidRPr="00B217CC">
              <w:rPr>
                <w:rFonts w:ascii="Times New Roman" w:hAnsi="Times New Roman" w:cs="Times New Roman"/>
                <w:color w:val="000000"/>
                <w:szCs w:val="24"/>
              </w:rPr>
              <w:t>0.706</w:t>
            </w:r>
          </w:p>
        </w:tc>
        <w:tc>
          <w:tcPr>
            <w:tcW w:w="0" w:type="auto"/>
            <w:shd w:val="clear" w:color="auto" w:fill="auto"/>
            <w:vAlign w:val="center"/>
            <w:hideMark/>
          </w:tcPr>
          <w:p w14:paraId="550E903B" w14:textId="77777777" w:rsidR="009209FD" w:rsidRPr="00B217CC" w:rsidRDefault="009209FD" w:rsidP="00212DDD">
            <w:pPr>
              <w:spacing w:line="240" w:lineRule="auto"/>
              <w:jc w:val="both"/>
              <w:rPr>
                <w:rFonts w:ascii="Times New Roman" w:eastAsia="Times New Roman" w:hAnsi="Times New Roman" w:cs="Times New Roman"/>
                <w:color w:val="000000"/>
                <w:szCs w:val="24"/>
              </w:rPr>
            </w:pPr>
            <w:r w:rsidRPr="00B217CC">
              <w:rPr>
                <w:rFonts w:ascii="Times New Roman" w:eastAsia="Times New Roman" w:hAnsi="Times New Roman" w:cs="Times New Roman"/>
                <w:color w:val="000000"/>
                <w:szCs w:val="24"/>
              </w:rPr>
              <w:t>1.151</w:t>
            </w:r>
          </w:p>
        </w:tc>
      </w:tr>
    </w:tbl>
    <w:p w14:paraId="69F5A9C4" w14:textId="0E02DCEB" w:rsidR="009209FD" w:rsidRPr="00212DDD" w:rsidRDefault="00A4250A" w:rsidP="00212DDD">
      <w:pPr>
        <w:jc w:val="both"/>
        <w:rPr>
          <w:rFonts w:ascii="Times New Roman" w:eastAsia="Roboto" w:hAnsi="Times New Roman" w:cs="Times New Roman"/>
          <w:color w:val="374151"/>
          <w:sz w:val="24"/>
          <w:szCs w:val="24"/>
        </w:rPr>
      </w:pPr>
      <w:r w:rsidRPr="00212DDD">
        <w:rPr>
          <w:rFonts w:ascii="Times New Roman" w:hAnsi="Times New Roman" w:cs="Times New Roman"/>
          <w:sz w:val="24"/>
          <w:szCs w:val="24"/>
        </w:rPr>
        <w:t xml:space="preserve">Source: </w:t>
      </w:r>
      <w:proofErr w:type="spellStart"/>
      <w:r w:rsidRPr="00212DDD">
        <w:rPr>
          <w:rFonts w:ascii="Times New Roman" w:hAnsi="Times New Roman" w:cs="Times New Roman"/>
          <w:sz w:val="24"/>
          <w:szCs w:val="24"/>
        </w:rPr>
        <w:t>Eviews</w:t>
      </w:r>
      <w:proofErr w:type="spellEnd"/>
      <w:r w:rsidRPr="00212DDD">
        <w:rPr>
          <w:rFonts w:ascii="Times New Roman" w:hAnsi="Times New Roman" w:cs="Times New Roman"/>
          <w:sz w:val="24"/>
          <w:szCs w:val="24"/>
        </w:rPr>
        <w:t xml:space="preserve"> Output and Authors' Computation, 2024. Note: Values in () and [] are standard errors and t-values respectively. </w:t>
      </w:r>
      <w:proofErr w:type="gramStart"/>
      <w:r w:rsidRPr="00212DDD">
        <w:rPr>
          <w:rFonts w:ascii="Times New Roman" w:hAnsi="Times New Roman" w:cs="Times New Roman"/>
          <w:sz w:val="24"/>
          <w:szCs w:val="24"/>
        </w:rPr>
        <w:t>t-values</w:t>
      </w:r>
      <w:proofErr w:type="gramEnd"/>
      <w:r w:rsidRPr="00212DDD">
        <w:rPr>
          <w:rFonts w:ascii="Times New Roman" w:hAnsi="Times New Roman" w:cs="Times New Roman"/>
          <w:sz w:val="24"/>
          <w:szCs w:val="24"/>
        </w:rPr>
        <w:t xml:space="preserve"> with *,**, *** are statistically significant at 10%, 5% and 1% respectively.  </w:t>
      </w:r>
    </w:p>
    <w:p w14:paraId="0990A618" w14:textId="77777777" w:rsidR="009209FD" w:rsidRPr="00212DDD" w:rsidRDefault="009209FD" w:rsidP="00212DDD">
      <w:pPr>
        <w:jc w:val="both"/>
        <w:rPr>
          <w:rFonts w:ascii="Times New Roman" w:eastAsia="Roboto" w:hAnsi="Times New Roman" w:cs="Times New Roman"/>
          <w:color w:val="374151"/>
          <w:sz w:val="24"/>
          <w:szCs w:val="24"/>
        </w:rPr>
      </w:pPr>
    </w:p>
    <w:p w14:paraId="0D40A9A2" w14:textId="77777777" w:rsidR="009209FD" w:rsidRPr="00212DDD" w:rsidRDefault="009209FD" w:rsidP="00212DDD">
      <w:pPr>
        <w:jc w:val="both"/>
        <w:rPr>
          <w:rFonts w:ascii="Times New Roman" w:eastAsia="Roboto" w:hAnsi="Times New Roman" w:cs="Times New Roman"/>
          <w:color w:val="374151"/>
          <w:sz w:val="24"/>
          <w:szCs w:val="24"/>
        </w:rPr>
      </w:pPr>
    </w:p>
    <w:p w14:paraId="04B86733" w14:textId="76BF4DBA" w:rsidR="009209FD" w:rsidRPr="00B217CC" w:rsidRDefault="00B217CC" w:rsidP="00212DDD">
      <w:pPr>
        <w:jc w:val="both"/>
        <w:rPr>
          <w:rFonts w:ascii="Times New Roman" w:eastAsia="Roboto" w:hAnsi="Times New Roman" w:cs="Times New Roman"/>
          <w:b/>
          <w:color w:val="374151"/>
          <w:sz w:val="24"/>
          <w:szCs w:val="24"/>
        </w:rPr>
      </w:pPr>
      <w:r w:rsidRPr="00B217CC">
        <w:rPr>
          <w:rFonts w:ascii="Times New Roman" w:eastAsia="Roboto" w:hAnsi="Times New Roman" w:cs="Times New Roman"/>
          <w:b/>
          <w:color w:val="374151"/>
          <w:sz w:val="24"/>
          <w:szCs w:val="24"/>
        </w:rPr>
        <w:t>References</w:t>
      </w:r>
    </w:p>
    <w:p w14:paraId="315BBD9C" w14:textId="77777777" w:rsidR="009209FD" w:rsidRPr="00212DDD" w:rsidRDefault="009209FD" w:rsidP="00212DDD">
      <w:pPr>
        <w:jc w:val="both"/>
        <w:rPr>
          <w:rFonts w:ascii="Times New Roman" w:eastAsia="Roboto" w:hAnsi="Times New Roman" w:cs="Times New Roman"/>
          <w:color w:val="374151"/>
          <w:sz w:val="24"/>
          <w:szCs w:val="24"/>
        </w:rPr>
      </w:pPr>
    </w:p>
    <w:p w14:paraId="397CBC92" w14:textId="77777777" w:rsidR="00B217CC" w:rsidRPr="00212DDD" w:rsidRDefault="00B217CC" w:rsidP="00B217C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720" w:hanging="720"/>
        <w:jc w:val="both"/>
        <w:rPr>
          <w:rFonts w:ascii="Times New Roman" w:eastAsia="Roboto" w:hAnsi="Times New Roman" w:cs="Times New Roman"/>
          <w:color w:val="0D0D0D"/>
          <w:sz w:val="24"/>
          <w:szCs w:val="24"/>
        </w:rPr>
      </w:pPr>
      <w:proofErr w:type="gramStart"/>
      <w:r w:rsidRPr="00212DDD">
        <w:rPr>
          <w:rFonts w:ascii="Times New Roman" w:eastAsia="Roboto" w:hAnsi="Times New Roman" w:cs="Times New Roman"/>
          <w:color w:val="0D0D0D"/>
          <w:sz w:val="24"/>
          <w:szCs w:val="24"/>
        </w:rPr>
        <w:t xml:space="preserve">Adams, S. O., </w:t>
      </w:r>
      <w:proofErr w:type="spellStart"/>
      <w:r w:rsidRPr="00212DDD">
        <w:rPr>
          <w:rFonts w:ascii="Times New Roman" w:eastAsia="Roboto" w:hAnsi="Times New Roman" w:cs="Times New Roman"/>
          <w:color w:val="0D0D0D"/>
          <w:sz w:val="24"/>
          <w:szCs w:val="24"/>
        </w:rPr>
        <w:t>Klobodu</w:t>
      </w:r>
      <w:proofErr w:type="spellEnd"/>
      <w:r w:rsidRPr="00212DDD">
        <w:rPr>
          <w:rFonts w:ascii="Times New Roman" w:eastAsia="Roboto" w:hAnsi="Times New Roman" w:cs="Times New Roman"/>
          <w:color w:val="0D0D0D"/>
          <w:sz w:val="24"/>
          <w:szCs w:val="24"/>
        </w:rPr>
        <w:t xml:space="preserve">, E. K. M., &amp; </w:t>
      </w:r>
      <w:proofErr w:type="spellStart"/>
      <w:r w:rsidRPr="00212DDD">
        <w:rPr>
          <w:rFonts w:ascii="Times New Roman" w:eastAsia="Roboto" w:hAnsi="Times New Roman" w:cs="Times New Roman"/>
          <w:color w:val="0D0D0D"/>
          <w:sz w:val="24"/>
          <w:szCs w:val="24"/>
        </w:rPr>
        <w:t>Apio</w:t>
      </w:r>
      <w:proofErr w:type="spellEnd"/>
      <w:r w:rsidRPr="00212DDD">
        <w:rPr>
          <w:rFonts w:ascii="Times New Roman" w:eastAsia="Roboto" w:hAnsi="Times New Roman" w:cs="Times New Roman"/>
          <w:color w:val="0D0D0D"/>
          <w:sz w:val="24"/>
          <w:szCs w:val="24"/>
        </w:rPr>
        <w:t>, A. (2018).</w:t>
      </w:r>
      <w:proofErr w:type="gramEnd"/>
      <w:r w:rsidRPr="00212DDD">
        <w:rPr>
          <w:rFonts w:ascii="Times New Roman" w:eastAsia="Roboto" w:hAnsi="Times New Roman" w:cs="Times New Roman"/>
          <w:color w:val="0D0D0D"/>
          <w:sz w:val="24"/>
          <w:szCs w:val="24"/>
        </w:rPr>
        <w:t xml:space="preserve"> </w:t>
      </w:r>
      <w:proofErr w:type="gramStart"/>
      <w:r w:rsidRPr="00212DDD">
        <w:rPr>
          <w:rFonts w:ascii="Times New Roman" w:eastAsia="Roboto" w:hAnsi="Times New Roman" w:cs="Times New Roman"/>
          <w:color w:val="0D0D0D"/>
          <w:sz w:val="24"/>
          <w:szCs w:val="24"/>
        </w:rPr>
        <w:t>Renewable and non-renewable energy, regime type and economic growth.</w:t>
      </w:r>
      <w:proofErr w:type="gramEnd"/>
      <w:r w:rsidRPr="00212DDD">
        <w:rPr>
          <w:rFonts w:ascii="Times New Roman" w:eastAsia="Roboto" w:hAnsi="Times New Roman" w:cs="Times New Roman"/>
          <w:color w:val="0D0D0D"/>
          <w:sz w:val="24"/>
          <w:szCs w:val="24"/>
        </w:rPr>
        <w:t xml:space="preserve"> Renewable Energy, 127, 1011-1025. https://doi.org/10.1016/J.RENENE.2018.02.135</w:t>
      </w:r>
    </w:p>
    <w:p w14:paraId="1C4915BB" w14:textId="77777777" w:rsidR="00B217CC" w:rsidRPr="00212DDD" w:rsidRDefault="00B217CC" w:rsidP="00B217CC">
      <w:pPr>
        <w:spacing w:line="240" w:lineRule="auto"/>
        <w:ind w:left="720" w:hanging="720"/>
        <w:jc w:val="both"/>
        <w:rPr>
          <w:rFonts w:ascii="Times New Roman" w:hAnsi="Times New Roman" w:cs="Times New Roman"/>
          <w:color w:val="374151"/>
          <w:sz w:val="24"/>
          <w:szCs w:val="24"/>
        </w:rPr>
      </w:pPr>
      <w:proofErr w:type="gramStart"/>
      <w:r w:rsidRPr="00212DDD">
        <w:rPr>
          <w:rFonts w:ascii="Times New Roman" w:hAnsi="Times New Roman" w:cs="Times New Roman"/>
          <w:color w:val="374151"/>
          <w:sz w:val="24"/>
          <w:szCs w:val="24"/>
        </w:rPr>
        <w:t xml:space="preserve">Adams, S., &amp; </w:t>
      </w:r>
      <w:proofErr w:type="spellStart"/>
      <w:r w:rsidRPr="00212DDD">
        <w:rPr>
          <w:rFonts w:ascii="Times New Roman" w:hAnsi="Times New Roman" w:cs="Times New Roman"/>
          <w:color w:val="374151"/>
          <w:sz w:val="24"/>
          <w:szCs w:val="24"/>
        </w:rPr>
        <w:t>Acheampong</w:t>
      </w:r>
      <w:proofErr w:type="spellEnd"/>
      <w:r w:rsidRPr="00212DDD">
        <w:rPr>
          <w:rFonts w:ascii="Times New Roman" w:hAnsi="Times New Roman" w:cs="Times New Roman"/>
          <w:color w:val="374151"/>
          <w:sz w:val="24"/>
          <w:szCs w:val="24"/>
        </w:rPr>
        <w:t>, A. (2019).</w:t>
      </w:r>
      <w:proofErr w:type="gramEnd"/>
      <w:r w:rsidRPr="00212DDD">
        <w:rPr>
          <w:rFonts w:ascii="Times New Roman" w:hAnsi="Times New Roman" w:cs="Times New Roman"/>
          <w:color w:val="374151"/>
          <w:sz w:val="24"/>
          <w:szCs w:val="24"/>
        </w:rPr>
        <w:t xml:space="preserve"> </w:t>
      </w:r>
      <w:proofErr w:type="gramStart"/>
      <w:r w:rsidRPr="00212DDD">
        <w:rPr>
          <w:rFonts w:ascii="Times New Roman" w:hAnsi="Times New Roman" w:cs="Times New Roman"/>
          <w:color w:val="374151"/>
          <w:sz w:val="24"/>
          <w:szCs w:val="24"/>
        </w:rPr>
        <w:t>Reducing carbon emissions: The role of renewable energy and democracy.</w:t>
      </w:r>
      <w:proofErr w:type="gramEnd"/>
      <w:r w:rsidRPr="00212DDD">
        <w:rPr>
          <w:rFonts w:ascii="Times New Roman" w:hAnsi="Times New Roman" w:cs="Times New Roman"/>
          <w:color w:val="374151"/>
          <w:sz w:val="24"/>
          <w:szCs w:val="24"/>
        </w:rPr>
        <w:t xml:space="preserve"> </w:t>
      </w:r>
      <w:proofErr w:type="gramStart"/>
      <w:r w:rsidRPr="00212DDD">
        <w:rPr>
          <w:rFonts w:ascii="Times New Roman" w:hAnsi="Times New Roman" w:cs="Times New Roman"/>
          <w:i/>
          <w:color w:val="374151"/>
          <w:sz w:val="24"/>
          <w:szCs w:val="24"/>
        </w:rPr>
        <w:t>Journal of Cleaner Production</w:t>
      </w:r>
      <w:r w:rsidRPr="00212DDD">
        <w:rPr>
          <w:rFonts w:ascii="Times New Roman" w:hAnsi="Times New Roman" w:cs="Times New Roman"/>
          <w:color w:val="374151"/>
          <w:sz w:val="24"/>
          <w:szCs w:val="24"/>
        </w:rPr>
        <w:t>, 240, 118245.</w:t>
      </w:r>
      <w:proofErr w:type="gramEnd"/>
      <w:r w:rsidRPr="00212DDD">
        <w:rPr>
          <w:rFonts w:ascii="Times New Roman" w:hAnsi="Times New Roman" w:cs="Times New Roman"/>
          <w:color w:val="374151"/>
          <w:sz w:val="24"/>
          <w:szCs w:val="24"/>
        </w:rPr>
        <w:t xml:space="preserve"> </w:t>
      </w:r>
      <w:hyperlink r:id="rId9">
        <w:r w:rsidRPr="00212DDD">
          <w:rPr>
            <w:rFonts w:ascii="Times New Roman" w:hAnsi="Times New Roman" w:cs="Times New Roman"/>
            <w:color w:val="1155CC"/>
            <w:sz w:val="24"/>
            <w:szCs w:val="24"/>
            <w:u w:val="single"/>
          </w:rPr>
          <w:t>https://doi.org/10.1016/j.jclepro.2019.118245</w:t>
        </w:r>
      </w:hyperlink>
      <w:r w:rsidRPr="00212DDD">
        <w:rPr>
          <w:rFonts w:ascii="Times New Roman" w:hAnsi="Times New Roman" w:cs="Times New Roman"/>
          <w:color w:val="374151"/>
          <w:sz w:val="24"/>
          <w:szCs w:val="24"/>
        </w:rPr>
        <w:t>.</w:t>
      </w:r>
    </w:p>
    <w:p w14:paraId="3AD3711D" w14:textId="77777777" w:rsidR="00B217CC" w:rsidRPr="00212DDD" w:rsidRDefault="00B217CC" w:rsidP="00B217C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720" w:hanging="720"/>
        <w:jc w:val="both"/>
        <w:rPr>
          <w:rFonts w:ascii="Times New Roman" w:eastAsia="Roboto" w:hAnsi="Times New Roman" w:cs="Times New Roman"/>
          <w:color w:val="0D0D0D"/>
          <w:sz w:val="24"/>
          <w:szCs w:val="24"/>
        </w:rPr>
      </w:pPr>
      <w:proofErr w:type="spellStart"/>
      <w:proofErr w:type="gramStart"/>
      <w:r w:rsidRPr="00212DDD">
        <w:rPr>
          <w:rFonts w:ascii="Times New Roman" w:eastAsia="Roboto" w:hAnsi="Times New Roman" w:cs="Times New Roman"/>
          <w:color w:val="0D0D0D"/>
          <w:sz w:val="24"/>
          <w:szCs w:val="24"/>
        </w:rPr>
        <w:t>Adelle</w:t>
      </w:r>
      <w:proofErr w:type="spellEnd"/>
      <w:r w:rsidRPr="00212DDD">
        <w:rPr>
          <w:rFonts w:ascii="Times New Roman" w:eastAsia="Roboto" w:hAnsi="Times New Roman" w:cs="Times New Roman"/>
          <w:color w:val="0D0D0D"/>
          <w:sz w:val="24"/>
          <w:szCs w:val="24"/>
        </w:rPr>
        <w:t xml:space="preserve">, C., Kroll, F., </w:t>
      </w:r>
      <w:proofErr w:type="spellStart"/>
      <w:r w:rsidRPr="00212DDD">
        <w:rPr>
          <w:rFonts w:ascii="Times New Roman" w:eastAsia="Roboto" w:hAnsi="Times New Roman" w:cs="Times New Roman"/>
          <w:color w:val="0D0D0D"/>
          <w:sz w:val="24"/>
          <w:szCs w:val="24"/>
        </w:rPr>
        <w:t>Losch</w:t>
      </w:r>
      <w:proofErr w:type="spellEnd"/>
      <w:r w:rsidRPr="00212DDD">
        <w:rPr>
          <w:rFonts w:ascii="Times New Roman" w:eastAsia="Roboto" w:hAnsi="Times New Roman" w:cs="Times New Roman"/>
          <w:color w:val="0D0D0D"/>
          <w:sz w:val="24"/>
          <w:szCs w:val="24"/>
        </w:rPr>
        <w:t xml:space="preserve">, B., &amp; </w:t>
      </w:r>
      <w:proofErr w:type="spellStart"/>
      <w:r w:rsidRPr="00212DDD">
        <w:rPr>
          <w:rFonts w:ascii="Times New Roman" w:eastAsia="Roboto" w:hAnsi="Times New Roman" w:cs="Times New Roman"/>
          <w:color w:val="0D0D0D"/>
          <w:sz w:val="24"/>
          <w:szCs w:val="24"/>
        </w:rPr>
        <w:t>Görgens</w:t>
      </w:r>
      <w:proofErr w:type="spellEnd"/>
      <w:r w:rsidRPr="00212DDD">
        <w:rPr>
          <w:rFonts w:ascii="Times New Roman" w:eastAsia="Roboto" w:hAnsi="Times New Roman" w:cs="Times New Roman"/>
          <w:color w:val="0D0D0D"/>
          <w:sz w:val="24"/>
          <w:szCs w:val="24"/>
        </w:rPr>
        <w:t>, T. (2021).</w:t>
      </w:r>
      <w:proofErr w:type="gramEnd"/>
      <w:r w:rsidRPr="00212DDD">
        <w:rPr>
          <w:rFonts w:ascii="Times New Roman" w:eastAsia="Roboto" w:hAnsi="Times New Roman" w:cs="Times New Roman"/>
          <w:color w:val="0D0D0D"/>
          <w:sz w:val="24"/>
          <w:szCs w:val="24"/>
        </w:rPr>
        <w:t xml:space="preserve"> Fostering communities of practice for improved food democracy: Experiences and learning from South Africa. </w:t>
      </w:r>
      <w:r w:rsidRPr="00212DDD">
        <w:rPr>
          <w:rFonts w:ascii="Times New Roman" w:eastAsia="Roboto" w:hAnsi="Times New Roman" w:cs="Times New Roman"/>
          <w:i/>
          <w:color w:val="0D0D0D"/>
          <w:sz w:val="24"/>
          <w:szCs w:val="24"/>
        </w:rPr>
        <w:t>Urban Agriculture &amp; Regional Food Systems</w:t>
      </w:r>
      <w:r w:rsidRPr="00212DDD">
        <w:rPr>
          <w:rFonts w:ascii="Times New Roman" w:eastAsia="Roboto" w:hAnsi="Times New Roman" w:cs="Times New Roman"/>
          <w:color w:val="0D0D0D"/>
          <w:sz w:val="24"/>
          <w:szCs w:val="24"/>
        </w:rPr>
        <w:t>, 10.1002/uar2.20007</w:t>
      </w:r>
    </w:p>
    <w:p w14:paraId="5CA74421" w14:textId="77777777" w:rsidR="00B217CC" w:rsidRPr="00212DDD" w:rsidRDefault="00B217CC" w:rsidP="00B217C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720" w:hanging="720"/>
        <w:jc w:val="both"/>
        <w:rPr>
          <w:rFonts w:ascii="Times New Roman" w:eastAsia="Roboto" w:hAnsi="Times New Roman" w:cs="Times New Roman"/>
          <w:color w:val="0D0D0D"/>
          <w:sz w:val="24"/>
          <w:szCs w:val="24"/>
        </w:rPr>
      </w:pPr>
      <w:r w:rsidRPr="00212DDD">
        <w:rPr>
          <w:rFonts w:ascii="Times New Roman" w:eastAsia="Roboto" w:hAnsi="Times New Roman" w:cs="Times New Roman"/>
          <w:color w:val="0D0D0D"/>
          <w:sz w:val="24"/>
          <w:szCs w:val="24"/>
        </w:rPr>
        <w:t xml:space="preserve">Ahmed, S., Warne, T., Smith, E., </w:t>
      </w:r>
      <w:proofErr w:type="spellStart"/>
      <w:r w:rsidRPr="00212DDD">
        <w:rPr>
          <w:rFonts w:ascii="Times New Roman" w:eastAsia="Roboto" w:hAnsi="Times New Roman" w:cs="Times New Roman"/>
          <w:color w:val="0D0D0D"/>
          <w:sz w:val="24"/>
          <w:szCs w:val="24"/>
        </w:rPr>
        <w:t>Goemann</w:t>
      </w:r>
      <w:proofErr w:type="spellEnd"/>
      <w:r w:rsidRPr="00212DDD">
        <w:rPr>
          <w:rFonts w:ascii="Times New Roman" w:eastAsia="Roboto" w:hAnsi="Times New Roman" w:cs="Times New Roman"/>
          <w:color w:val="0D0D0D"/>
          <w:sz w:val="24"/>
          <w:szCs w:val="24"/>
        </w:rPr>
        <w:t xml:space="preserve">, H., </w:t>
      </w:r>
      <w:proofErr w:type="spellStart"/>
      <w:r w:rsidRPr="00212DDD">
        <w:rPr>
          <w:rFonts w:ascii="Times New Roman" w:eastAsia="Roboto" w:hAnsi="Times New Roman" w:cs="Times New Roman"/>
          <w:color w:val="0D0D0D"/>
          <w:sz w:val="24"/>
          <w:szCs w:val="24"/>
        </w:rPr>
        <w:t>Linse</w:t>
      </w:r>
      <w:proofErr w:type="spellEnd"/>
      <w:r w:rsidRPr="00212DDD">
        <w:rPr>
          <w:rFonts w:ascii="Times New Roman" w:eastAsia="Roboto" w:hAnsi="Times New Roman" w:cs="Times New Roman"/>
          <w:color w:val="0D0D0D"/>
          <w:sz w:val="24"/>
          <w:szCs w:val="24"/>
        </w:rPr>
        <w:t>, G., Greenwood, M</w:t>
      </w:r>
      <w:proofErr w:type="gramStart"/>
      <w:r w:rsidRPr="00212DDD">
        <w:rPr>
          <w:rFonts w:ascii="Times New Roman" w:eastAsia="Roboto" w:hAnsi="Times New Roman" w:cs="Times New Roman"/>
          <w:color w:val="0D0D0D"/>
          <w:sz w:val="24"/>
          <w:szCs w:val="24"/>
        </w:rPr>
        <w:t>., ...</w:t>
      </w:r>
      <w:proofErr w:type="gramEnd"/>
      <w:r w:rsidRPr="00212DDD">
        <w:rPr>
          <w:rFonts w:ascii="Times New Roman" w:eastAsia="Roboto" w:hAnsi="Times New Roman" w:cs="Times New Roman"/>
          <w:color w:val="0D0D0D"/>
          <w:sz w:val="24"/>
          <w:szCs w:val="24"/>
        </w:rPr>
        <w:t xml:space="preserve"> </w:t>
      </w:r>
      <w:proofErr w:type="spellStart"/>
      <w:r w:rsidRPr="00212DDD">
        <w:rPr>
          <w:rFonts w:ascii="Times New Roman" w:eastAsia="Roboto" w:hAnsi="Times New Roman" w:cs="Times New Roman"/>
          <w:color w:val="0D0D0D"/>
          <w:sz w:val="24"/>
          <w:szCs w:val="24"/>
        </w:rPr>
        <w:t>Stoy</w:t>
      </w:r>
      <w:proofErr w:type="spellEnd"/>
      <w:r w:rsidRPr="00212DDD">
        <w:rPr>
          <w:rFonts w:ascii="Times New Roman" w:eastAsia="Roboto" w:hAnsi="Times New Roman" w:cs="Times New Roman"/>
          <w:color w:val="0D0D0D"/>
          <w:sz w:val="24"/>
          <w:szCs w:val="24"/>
        </w:rPr>
        <w:t xml:space="preserve">, P. (2021). </w:t>
      </w:r>
      <w:proofErr w:type="gramStart"/>
      <w:r w:rsidRPr="00212DDD">
        <w:rPr>
          <w:rFonts w:ascii="Times New Roman" w:eastAsia="Roboto" w:hAnsi="Times New Roman" w:cs="Times New Roman"/>
          <w:color w:val="0D0D0D"/>
          <w:sz w:val="24"/>
          <w:szCs w:val="24"/>
        </w:rPr>
        <w:t xml:space="preserve">Systematic review on effects of bioenergy from edible versus inedible </w:t>
      </w:r>
      <w:proofErr w:type="spellStart"/>
      <w:r w:rsidRPr="00212DDD">
        <w:rPr>
          <w:rFonts w:ascii="Times New Roman" w:eastAsia="Roboto" w:hAnsi="Times New Roman" w:cs="Times New Roman"/>
          <w:color w:val="0D0D0D"/>
          <w:sz w:val="24"/>
          <w:szCs w:val="24"/>
        </w:rPr>
        <w:t>feedstocks</w:t>
      </w:r>
      <w:proofErr w:type="spellEnd"/>
      <w:r w:rsidRPr="00212DDD">
        <w:rPr>
          <w:rFonts w:ascii="Times New Roman" w:eastAsia="Roboto" w:hAnsi="Times New Roman" w:cs="Times New Roman"/>
          <w:color w:val="0D0D0D"/>
          <w:sz w:val="24"/>
          <w:szCs w:val="24"/>
        </w:rPr>
        <w:t xml:space="preserve"> on food security.</w:t>
      </w:r>
      <w:proofErr w:type="gramEnd"/>
      <w:r w:rsidRPr="00212DDD">
        <w:rPr>
          <w:rFonts w:ascii="Times New Roman" w:eastAsia="Roboto" w:hAnsi="Times New Roman" w:cs="Times New Roman"/>
          <w:color w:val="0D0D0D"/>
          <w:sz w:val="24"/>
          <w:szCs w:val="24"/>
        </w:rPr>
        <w:t xml:space="preserve"> </w:t>
      </w:r>
      <w:r w:rsidRPr="00212DDD">
        <w:rPr>
          <w:rFonts w:ascii="Times New Roman" w:eastAsia="Roboto" w:hAnsi="Times New Roman" w:cs="Times New Roman"/>
          <w:i/>
          <w:color w:val="0D0D0D"/>
          <w:sz w:val="24"/>
          <w:szCs w:val="24"/>
        </w:rPr>
        <w:t>NPJ Science of Food</w:t>
      </w:r>
      <w:r w:rsidRPr="00212DDD">
        <w:rPr>
          <w:rFonts w:ascii="Times New Roman" w:eastAsia="Roboto" w:hAnsi="Times New Roman" w:cs="Times New Roman"/>
          <w:color w:val="0D0D0D"/>
          <w:sz w:val="24"/>
          <w:szCs w:val="24"/>
        </w:rPr>
        <w:t>, 10.1038/s41538-021-00091-6</w:t>
      </w:r>
    </w:p>
    <w:p w14:paraId="17ED9F60" w14:textId="77777777" w:rsidR="00B217CC" w:rsidRPr="00212DDD" w:rsidRDefault="00B217CC" w:rsidP="00B217C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720" w:hanging="720"/>
        <w:jc w:val="both"/>
        <w:rPr>
          <w:rFonts w:ascii="Times New Roman" w:eastAsia="Roboto" w:hAnsi="Times New Roman" w:cs="Times New Roman"/>
          <w:color w:val="0D0D0D"/>
          <w:sz w:val="24"/>
          <w:szCs w:val="24"/>
        </w:rPr>
      </w:pPr>
      <w:proofErr w:type="spellStart"/>
      <w:r w:rsidRPr="00212DDD">
        <w:rPr>
          <w:rFonts w:ascii="Times New Roman" w:eastAsia="Roboto" w:hAnsi="Times New Roman" w:cs="Times New Roman"/>
          <w:color w:val="0D0D0D"/>
          <w:sz w:val="24"/>
          <w:szCs w:val="24"/>
        </w:rPr>
        <w:t>Anser</w:t>
      </w:r>
      <w:proofErr w:type="spellEnd"/>
      <w:r w:rsidRPr="00212DDD">
        <w:rPr>
          <w:rFonts w:ascii="Times New Roman" w:eastAsia="Roboto" w:hAnsi="Times New Roman" w:cs="Times New Roman"/>
          <w:color w:val="0D0D0D"/>
          <w:sz w:val="24"/>
          <w:szCs w:val="24"/>
        </w:rPr>
        <w:t xml:space="preserve">, M. K., </w:t>
      </w:r>
      <w:proofErr w:type="spellStart"/>
      <w:r w:rsidRPr="00212DDD">
        <w:rPr>
          <w:rFonts w:ascii="Times New Roman" w:eastAsia="Roboto" w:hAnsi="Times New Roman" w:cs="Times New Roman"/>
          <w:color w:val="0D0D0D"/>
          <w:sz w:val="24"/>
          <w:szCs w:val="24"/>
        </w:rPr>
        <w:t>Osabohien</w:t>
      </w:r>
      <w:proofErr w:type="spellEnd"/>
      <w:r w:rsidRPr="00212DDD">
        <w:rPr>
          <w:rFonts w:ascii="Times New Roman" w:eastAsia="Roboto" w:hAnsi="Times New Roman" w:cs="Times New Roman"/>
          <w:color w:val="0D0D0D"/>
          <w:sz w:val="24"/>
          <w:szCs w:val="24"/>
        </w:rPr>
        <w:t xml:space="preserve">, R. A., </w:t>
      </w:r>
      <w:proofErr w:type="spellStart"/>
      <w:r w:rsidRPr="00212DDD">
        <w:rPr>
          <w:rFonts w:ascii="Times New Roman" w:eastAsia="Roboto" w:hAnsi="Times New Roman" w:cs="Times New Roman"/>
          <w:color w:val="0D0D0D"/>
          <w:sz w:val="24"/>
          <w:szCs w:val="24"/>
        </w:rPr>
        <w:t>Olonade</w:t>
      </w:r>
      <w:proofErr w:type="spellEnd"/>
      <w:r w:rsidRPr="00212DDD">
        <w:rPr>
          <w:rFonts w:ascii="Times New Roman" w:eastAsia="Roboto" w:hAnsi="Times New Roman" w:cs="Times New Roman"/>
          <w:color w:val="0D0D0D"/>
          <w:sz w:val="24"/>
          <w:szCs w:val="24"/>
        </w:rPr>
        <w:t xml:space="preserve">, O., </w:t>
      </w:r>
      <w:proofErr w:type="spellStart"/>
      <w:r w:rsidRPr="00212DDD">
        <w:rPr>
          <w:rFonts w:ascii="Times New Roman" w:eastAsia="Roboto" w:hAnsi="Times New Roman" w:cs="Times New Roman"/>
          <w:color w:val="0D0D0D"/>
          <w:sz w:val="24"/>
          <w:szCs w:val="24"/>
        </w:rPr>
        <w:t>Karakara</w:t>
      </w:r>
      <w:proofErr w:type="spellEnd"/>
      <w:r w:rsidRPr="00212DDD">
        <w:rPr>
          <w:rFonts w:ascii="Times New Roman" w:eastAsia="Roboto" w:hAnsi="Times New Roman" w:cs="Times New Roman"/>
          <w:color w:val="0D0D0D"/>
          <w:sz w:val="24"/>
          <w:szCs w:val="24"/>
        </w:rPr>
        <w:t xml:space="preserve">, A. A.-W., </w:t>
      </w:r>
      <w:proofErr w:type="spellStart"/>
      <w:r w:rsidRPr="00212DDD">
        <w:rPr>
          <w:rFonts w:ascii="Times New Roman" w:eastAsia="Roboto" w:hAnsi="Times New Roman" w:cs="Times New Roman"/>
          <w:color w:val="0D0D0D"/>
          <w:sz w:val="24"/>
          <w:szCs w:val="24"/>
        </w:rPr>
        <w:t>Olalekan</w:t>
      </w:r>
      <w:proofErr w:type="spellEnd"/>
      <w:r w:rsidRPr="00212DDD">
        <w:rPr>
          <w:rFonts w:ascii="Times New Roman" w:eastAsia="Roboto" w:hAnsi="Times New Roman" w:cs="Times New Roman"/>
          <w:color w:val="0D0D0D"/>
          <w:sz w:val="24"/>
          <w:szCs w:val="24"/>
        </w:rPr>
        <w:t xml:space="preserve">, I. B., Ashraf, J., &amp; </w:t>
      </w:r>
      <w:proofErr w:type="spellStart"/>
      <w:r w:rsidRPr="00212DDD">
        <w:rPr>
          <w:rFonts w:ascii="Times New Roman" w:eastAsia="Roboto" w:hAnsi="Times New Roman" w:cs="Times New Roman"/>
          <w:color w:val="0D0D0D"/>
          <w:sz w:val="24"/>
          <w:szCs w:val="24"/>
        </w:rPr>
        <w:t>Igbinoba</w:t>
      </w:r>
      <w:proofErr w:type="spellEnd"/>
      <w:r w:rsidRPr="00212DDD">
        <w:rPr>
          <w:rFonts w:ascii="Times New Roman" w:eastAsia="Roboto" w:hAnsi="Times New Roman" w:cs="Times New Roman"/>
          <w:color w:val="0D0D0D"/>
          <w:sz w:val="24"/>
          <w:szCs w:val="24"/>
        </w:rPr>
        <w:t xml:space="preserve">, A. (2021). </w:t>
      </w:r>
      <w:proofErr w:type="gramStart"/>
      <w:r w:rsidRPr="00212DDD">
        <w:rPr>
          <w:rFonts w:ascii="Times New Roman" w:eastAsia="Roboto" w:hAnsi="Times New Roman" w:cs="Times New Roman"/>
          <w:color w:val="0D0D0D"/>
          <w:sz w:val="24"/>
          <w:szCs w:val="24"/>
        </w:rPr>
        <w:t>Impact of ICT Adoption and Governance Interaction on Food Security in West Africa.</w:t>
      </w:r>
      <w:proofErr w:type="gramEnd"/>
      <w:r w:rsidRPr="00212DDD">
        <w:rPr>
          <w:rFonts w:ascii="Times New Roman" w:eastAsia="Roboto" w:hAnsi="Times New Roman" w:cs="Times New Roman"/>
          <w:color w:val="0D0D0D"/>
          <w:sz w:val="24"/>
          <w:szCs w:val="24"/>
        </w:rPr>
        <w:t xml:space="preserve"> </w:t>
      </w:r>
      <w:proofErr w:type="gramStart"/>
      <w:r w:rsidRPr="00212DDD">
        <w:rPr>
          <w:rFonts w:ascii="Times New Roman" w:eastAsia="Roboto" w:hAnsi="Times New Roman" w:cs="Times New Roman"/>
          <w:color w:val="0D0D0D"/>
          <w:sz w:val="24"/>
          <w:szCs w:val="24"/>
        </w:rPr>
        <w:t>Sustainability, 13(10), 5570.</w:t>
      </w:r>
      <w:proofErr w:type="gramEnd"/>
      <w:r w:rsidRPr="00212DDD">
        <w:rPr>
          <w:rFonts w:ascii="Times New Roman" w:eastAsia="Roboto" w:hAnsi="Times New Roman" w:cs="Times New Roman"/>
          <w:color w:val="0D0D0D"/>
          <w:sz w:val="24"/>
          <w:szCs w:val="24"/>
        </w:rPr>
        <w:t xml:space="preserve"> https://doi.org/10.3390/SU13105570</w:t>
      </w:r>
    </w:p>
    <w:p w14:paraId="1207E33F" w14:textId="77777777" w:rsidR="00B217CC" w:rsidRPr="00212DDD" w:rsidRDefault="00B217CC" w:rsidP="00B217C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720" w:hanging="720"/>
        <w:jc w:val="both"/>
        <w:rPr>
          <w:rFonts w:ascii="Times New Roman" w:eastAsia="Roboto" w:hAnsi="Times New Roman" w:cs="Times New Roman"/>
          <w:color w:val="0D0D0D"/>
          <w:sz w:val="24"/>
          <w:szCs w:val="24"/>
        </w:rPr>
      </w:pPr>
      <w:proofErr w:type="spellStart"/>
      <w:proofErr w:type="gramStart"/>
      <w:r w:rsidRPr="00212DDD">
        <w:rPr>
          <w:rFonts w:ascii="Times New Roman" w:eastAsia="Roboto" w:hAnsi="Times New Roman" w:cs="Times New Roman"/>
          <w:color w:val="0D0D0D"/>
          <w:sz w:val="24"/>
          <w:szCs w:val="24"/>
        </w:rPr>
        <w:t>Asongu</w:t>
      </w:r>
      <w:proofErr w:type="spellEnd"/>
      <w:r w:rsidRPr="00212DDD">
        <w:rPr>
          <w:rFonts w:ascii="Times New Roman" w:eastAsia="Roboto" w:hAnsi="Times New Roman" w:cs="Times New Roman"/>
          <w:color w:val="0D0D0D"/>
          <w:sz w:val="24"/>
          <w:szCs w:val="24"/>
        </w:rPr>
        <w:t xml:space="preserve">, S., &amp; </w:t>
      </w:r>
      <w:proofErr w:type="spellStart"/>
      <w:r w:rsidRPr="00212DDD">
        <w:rPr>
          <w:rFonts w:ascii="Times New Roman" w:eastAsia="Roboto" w:hAnsi="Times New Roman" w:cs="Times New Roman"/>
          <w:color w:val="0D0D0D"/>
          <w:sz w:val="24"/>
          <w:szCs w:val="24"/>
        </w:rPr>
        <w:t>Odhiambo</w:t>
      </w:r>
      <w:proofErr w:type="spellEnd"/>
      <w:r w:rsidRPr="00212DDD">
        <w:rPr>
          <w:rFonts w:ascii="Times New Roman" w:eastAsia="Roboto" w:hAnsi="Times New Roman" w:cs="Times New Roman"/>
          <w:color w:val="0D0D0D"/>
          <w:sz w:val="24"/>
          <w:szCs w:val="24"/>
        </w:rPr>
        <w:t>, N. (2018).</w:t>
      </w:r>
      <w:proofErr w:type="gramEnd"/>
      <w:r w:rsidRPr="00212DDD">
        <w:rPr>
          <w:rFonts w:ascii="Times New Roman" w:eastAsia="Roboto" w:hAnsi="Times New Roman" w:cs="Times New Roman"/>
          <w:color w:val="0D0D0D"/>
          <w:sz w:val="24"/>
          <w:szCs w:val="24"/>
        </w:rPr>
        <w:t xml:space="preserve"> Challenges of Doing Business in Africa: A Systematic Review. </w:t>
      </w:r>
      <w:r w:rsidRPr="00212DDD">
        <w:rPr>
          <w:rFonts w:ascii="Times New Roman" w:eastAsia="Roboto" w:hAnsi="Times New Roman" w:cs="Times New Roman"/>
          <w:i/>
          <w:color w:val="0D0D0D"/>
          <w:sz w:val="24"/>
          <w:szCs w:val="24"/>
        </w:rPr>
        <w:t>Journal of African Business</w:t>
      </w:r>
      <w:r w:rsidRPr="00212DDD">
        <w:rPr>
          <w:rFonts w:ascii="Times New Roman" w:eastAsia="Roboto" w:hAnsi="Times New Roman" w:cs="Times New Roman"/>
          <w:color w:val="0D0D0D"/>
          <w:sz w:val="24"/>
          <w:szCs w:val="24"/>
        </w:rPr>
        <w:t>, 10.1080/15228916.2019.1582294</w:t>
      </w:r>
    </w:p>
    <w:p w14:paraId="11EA401C" w14:textId="77777777" w:rsidR="00B217CC" w:rsidRPr="00212DDD" w:rsidRDefault="00B217CC" w:rsidP="00B217C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720" w:hanging="720"/>
        <w:jc w:val="both"/>
        <w:rPr>
          <w:rFonts w:ascii="Times New Roman" w:eastAsia="Roboto" w:hAnsi="Times New Roman" w:cs="Times New Roman"/>
          <w:color w:val="0D0D0D"/>
          <w:sz w:val="24"/>
          <w:szCs w:val="24"/>
        </w:rPr>
      </w:pPr>
      <w:proofErr w:type="spellStart"/>
      <w:proofErr w:type="gramStart"/>
      <w:r w:rsidRPr="00212DDD">
        <w:rPr>
          <w:rFonts w:ascii="Times New Roman" w:eastAsia="Roboto" w:hAnsi="Times New Roman" w:cs="Times New Roman"/>
          <w:color w:val="0D0D0D"/>
          <w:sz w:val="24"/>
          <w:szCs w:val="24"/>
        </w:rPr>
        <w:t>Balázsi</w:t>
      </w:r>
      <w:proofErr w:type="spellEnd"/>
      <w:r w:rsidRPr="00212DDD">
        <w:rPr>
          <w:rFonts w:ascii="Times New Roman" w:eastAsia="Roboto" w:hAnsi="Times New Roman" w:cs="Times New Roman"/>
          <w:color w:val="0D0D0D"/>
          <w:sz w:val="24"/>
          <w:szCs w:val="24"/>
        </w:rPr>
        <w:t xml:space="preserve">, L., </w:t>
      </w:r>
      <w:proofErr w:type="spellStart"/>
      <w:r w:rsidRPr="00212DDD">
        <w:rPr>
          <w:rFonts w:ascii="Times New Roman" w:eastAsia="Roboto" w:hAnsi="Times New Roman" w:cs="Times New Roman"/>
          <w:color w:val="0D0D0D"/>
          <w:sz w:val="24"/>
          <w:szCs w:val="24"/>
        </w:rPr>
        <w:t>Mátyás</w:t>
      </w:r>
      <w:proofErr w:type="spellEnd"/>
      <w:r w:rsidRPr="00212DDD">
        <w:rPr>
          <w:rFonts w:ascii="Times New Roman" w:eastAsia="Roboto" w:hAnsi="Times New Roman" w:cs="Times New Roman"/>
          <w:color w:val="0D0D0D"/>
          <w:sz w:val="24"/>
          <w:szCs w:val="24"/>
        </w:rPr>
        <w:t xml:space="preserve">, L., &amp; </w:t>
      </w:r>
      <w:proofErr w:type="spellStart"/>
      <w:r w:rsidRPr="00212DDD">
        <w:rPr>
          <w:rFonts w:ascii="Times New Roman" w:eastAsia="Roboto" w:hAnsi="Times New Roman" w:cs="Times New Roman"/>
          <w:color w:val="0D0D0D"/>
          <w:sz w:val="24"/>
          <w:szCs w:val="24"/>
        </w:rPr>
        <w:t>Wansbeek</w:t>
      </w:r>
      <w:proofErr w:type="spellEnd"/>
      <w:r w:rsidRPr="00212DDD">
        <w:rPr>
          <w:rFonts w:ascii="Times New Roman" w:eastAsia="Roboto" w:hAnsi="Times New Roman" w:cs="Times New Roman"/>
          <w:color w:val="0D0D0D"/>
          <w:sz w:val="24"/>
          <w:szCs w:val="24"/>
        </w:rPr>
        <w:t>, T. (2018).</w:t>
      </w:r>
      <w:proofErr w:type="gramEnd"/>
      <w:r w:rsidRPr="00212DDD">
        <w:rPr>
          <w:rFonts w:ascii="Times New Roman" w:eastAsia="Roboto" w:hAnsi="Times New Roman" w:cs="Times New Roman"/>
          <w:color w:val="0D0D0D"/>
          <w:sz w:val="24"/>
          <w:szCs w:val="24"/>
        </w:rPr>
        <w:t xml:space="preserve"> The estimation of multidimensional fixed effects panel data models. Econometric Reviews, 37(4), 361-384. https://doi.org/10.1080/07474938.2015.1032164</w:t>
      </w:r>
    </w:p>
    <w:p w14:paraId="62AA251F" w14:textId="77777777" w:rsidR="00B217CC" w:rsidRPr="00212DDD" w:rsidRDefault="00B217CC" w:rsidP="00B217CC">
      <w:pPr>
        <w:pBdr>
          <w:top w:val="none" w:sz="0" w:space="0" w:color="D9D9E3"/>
          <w:left w:val="none" w:sz="0" w:space="0" w:color="D9D9E3"/>
          <w:bottom w:val="none" w:sz="0" w:space="0" w:color="D9D9E3"/>
          <w:right w:val="none" w:sz="0" w:space="0" w:color="D9D9E3"/>
          <w:between w:val="none" w:sz="0" w:space="0" w:color="D9D9E3"/>
        </w:pBdr>
        <w:spacing w:before="300" w:line="240" w:lineRule="auto"/>
        <w:ind w:left="720" w:hanging="720"/>
        <w:jc w:val="both"/>
        <w:rPr>
          <w:rFonts w:ascii="Times New Roman" w:hAnsi="Times New Roman" w:cs="Times New Roman"/>
          <w:color w:val="2E414F"/>
          <w:sz w:val="24"/>
          <w:szCs w:val="24"/>
          <w:highlight w:val="white"/>
        </w:rPr>
      </w:pPr>
      <w:proofErr w:type="spellStart"/>
      <w:proofErr w:type="gramStart"/>
      <w:r w:rsidRPr="00212DDD">
        <w:rPr>
          <w:rFonts w:ascii="Times New Roman" w:hAnsi="Times New Roman" w:cs="Times New Roman"/>
          <w:color w:val="2E414F"/>
          <w:sz w:val="24"/>
          <w:szCs w:val="24"/>
          <w:highlight w:val="white"/>
        </w:rPr>
        <w:t>Bellezoni</w:t>
      </w:r>
      <w:proofErr w:type="spellEnd"/>
      <w:r w:rsidRPr="00212DDD">
        <w:rPr>
          <w:rFonts w:ascii="Times New Roman" w:hAnsi="Times New Roman" w:cs="Times New Roman"/>
          <w:color w:val="2E414F"/>
          <w:sz w:val="24"/>
          <w:szCs w:val="24"/>
          <w:highlight w:val="white"/>
        </w:rPr>
        <w:t xml:space="preserve">, R., </w:t>
      </w:r>
      <w:proofErr w:type="spellStart"/>
      <w:r w:rsidRPr="00212DDD">
        <w:rPr>
          <w:rFonts w:ascii="Times New Roman" w:hAnsi="Times New Roman" w:cs="Times New Roman"/>
          <w:color w:val="2E414F"/>
          <w:sz w:val="24"/>
          <w:szCs w:val="24"/>
          <w:highlight w:val="white"/>
        </w:rPr>
        <w:t>Meng</w:t>
      </w:r>
      <w:proofErr w:type="spellEnd"/>
      <w:r w:rsidRPr="00212DDD">
        <w:rPr>
          <w:rFonts w:ascii="Times New Roman" w:hAnsi="Times New Roman" w:cs="Times New Roman"/>
          <w:color w:val="2E414F"/>
          <w:sz w:val="24"/>
          <w:szCs w:val="24"/>
          <w:highlight w:val="white"/>
        </w:rPr>
        <w:t xml:space="preserve">, F., He, P., &amp; </w:t>
      </w:r>
      <w:proofErr w:type="spellStart"/>
      <w:r w:rsidRPr="00212DDD">
        <w:rPr>
          <w:rFonts w:ascii="Times New Roman" w:hAnsi="Times New Roman" w:cs="Times New Roman"/>
          <w:color w:val="2E414F"/>
          <w:sz w:val="24"/>
          <w:szCs w:val="24"/>
          <w:highlight w:val="white"/>
        </w:rPr>
        <w:t>Seto</w:t>
      </w:r>
      <w:proofErr w:type="spellEnd"/>
      <w:r w:rsidRPr="00212DDD">
        <w:rPr>
          <w:rFonts w:ascii="Times New Roman" w:hAnsi="Times New Roman" w:cs="Times New Roman"/>
          <w:color w:val="2E414F"/>
          <w:sz w:val="24"/>
          <w:szCs w:val="24"/>
          <w:highlight w:val="white"/>
        </w:rPr>
        <w:t>, K. (2021).</w:t>
      </w:r>
      <w:proofErr w:type="gramEnd"/>
      <w:r w:rsidRPr="00212DDD">
        <w:rPr>
          <w:rFonts w:ascii="Times New Roman" w:hAnsi="Times New Roman" w:cs="Times New Roman"/>
          <w:color w:val="2E414F"/>
          <w:sz w:val="24"/>
          <w:szCs w:val="24"/>
          <w:highlight w:val="white"/>
        </w:rPr>
        <w:t xml:space="preserve"> Understanding and conceptualizing how urban green and blue infrastructure affects the food, water, and energy nexus: A synthesis of the literature. </w:t>
      </w:r>
      <w:proofErr w:type="gramStart"/>
      <w:r w:rsidRPr="00212DDD">
        <w:rPr>
          <w:rFonts w:ascii="Times New Roman" w:hAnsi="Times New Roman" w:cs="Times New Roman"/>
          <w:i/>
          <w:color w:val="2E414F"/>
          <w:sz w:val="24"/>
          <w:szCs w:val="24"/>
          <w:highlight w:val="white"/>
        </w:rPr>
        <w:t>Journal of Cleaner Production</w:t>
      </w:r>
      <w:r w:rsidRPr="00212DDD">
        <w:rPr>
          <w:rFonts w:ascii="Times New Roman" w:hAnsi="Times New Roman" w:cs="Times New Roman"/>
          <w:color w:val="2E414F"/>
          <w:sz w:val="24"/>
          <w:szCs w:val="24"/>
          <w:highlight w:val="white"/>
        </w:rPr>
        <w:t>, 289, 125825.</w:t>
      </w:r>
      <w:proofErr w:type="gramEnd"/>
      <w:r w:rsidRPr="00212DDD">
        <w:rPr>
          <w:rFonts w:ascii="Times New Roman" w:hAnsi="Times New Roman" w:cs="Times New Roman"/>
          <w:color w:val="2E414F"/>
          <w:sz w:val="24"/>
          <w:szCs w:val="24"/>
          <w:highlight w:val="white"/>
        </w:rPr>
        <w:t xml:space="preserve"> </w:t>
      </w:r>
      <w:hyperlink r:id="rId10">
        <w:r w:rsidRPr="00212DDD">
          <w:rPr>
            <w:rFonts w:ascii="Times New Roman" w:hAnsi="Times New Roman" w:cs="Times New Roman"/>
            <w:color w:val="1155CC"/>
            <w:sz w:val="24"/>
            <w:szCs w:val="24"/>
            <w:highlight w:val="white"/>
            <w:u w:val="single"/>
          </w:rPr>
          <w:t>https://doi.org/10.1016/j.jclepro.2021.125825</w:t>
        </w:r>
      </w:hyperlink>
      <w:r w:rsidRPr="00212DDD">
        <w:rPr>
          <w:rFonts w:ascii="Times New Roman" w:hAnsi="Times New Roman" w:cs="Times New Roman"/>
          <w:color w:val="2E414F"/>
          <w:sz w:val="24"/>
          <w:szCs w:val="24"/>
          <w:highlight w:val="white"/>
        </w:rPr>
        <w:t>.</w:t>
      </w:r>
    </w:p>
    <w:p w14:paraId="345F03E2" w14:textId="77777777" w:rsidR="00B217CC" w:rsidRPr="00212DDD" w:rsidRDefault="00B217CC" w:rsidP="006C4730">
      <w:pPr>
        <w:pBdr>
          <w:top w:val="none" w:sz="0" w:space="0" w:color="E3E3E3"/>
          <w:left w:val="none" w:sz="0" w:space="0" w:color="E3E3E3"/>
          <w:bottom w:val="none" w:sz="0" w:space="2" w:color="E3E3E3"/>
          <w:right w:val="none" w:sz="0" w:space="0" w:color="E3E3E3"/>
          <w:between w:val="none" w:sz="0" w:space="0" w:color="E3E3E3"/>
        </w:pBdr>
        <w:shd w:val="clear" w:color="auto" w:fill="FFFFFF"/>
        <w:spacing w:before="300" w:after="300" w:line="240" w:lineRule="auto"/>
        <w:ind w:left="720" w:hanging="720"/>
        <w:jc w:val="both"/>
        <w:rPr>
          <w:rFonts w:ascii="Times New Roman" w:eastAsia="Roboto" w:hAnsi="Times New Roman" w:cs="Times New Roman"/>
          <w:color w:val="0D0D0D"/>
          <w:sz w:val="24"/>
          <w:szCs w:val="24"/>
        </w:rPr>
      </w:pPr>
      <w:r w:rsidRPr="00212DDD">
        <w:rPr>
          <w:rFonts w:ascii="Times New Roman" w:eastAsia="Roboto" w:hAnsi="Times New Roman" w:cs="Times New Roman"/>
          <w:color w:val="0D0D0D"/>
          <w:sz w:val="24"/>
          <w:szCs w:val="24"/>
        </w:rPr>
        <w:t xml:space="preserve">Blanton, R. E., &amp; Kirsch, S. (2019). Political ecology: A critical introduction. </w:t>
      </w:r>
      <w:proofErr w:type="gramStart"/>
      <w:r w:rsidRPr="00212DDD">
        <w:rPr>
          <w:rFonts w:ascii="Times New Roman" w:eastAsia="Roboto" w:hAnsi="Times New Roman" w:cs="Times New Roman"/>
          <w:color w:val="0D0D0D"/>
          <w:sz w:val="24"/>
          <w:szCs w:val="24"/>
        </w:rPr>
        <w:t>John Wiley &amp; Sons.</w:t>
      </w:r>
      <w:proofErr w:type="gramEnd"/>
    </w:p>
    <w:p w14:paraId="3C24C4FA" w14:textId="77777777" w:rsidR="00B217CC" w:rsidRPr="00212DDD" w:rsidRDefault="00B217CC" w:rsidP="006C4730">
      <w:pPr>
        <w:pBdr>
          <w:top w:val="none" w:sz="0" w:space="0" w:color="E3E3E3"/>
          <w:left w:val="none" w:sz="0" w:space="0" w:color="E3E3E3"/>
          <w:bottom w:val="none" w:sz="0" w:space="2" w:color="E3E3E3"/>
          <w:right w:val="none" w:sz="0" w:space="0" w:color="E3E3E3"/>
          <w:between w:val="none" w:sz="0" w:space="0" w:color="E3E3E3"/>
        </w:pBdr>
        <w:shd w:val="clear" w:color="auto" w:fill="FFFFFF"/>
        <w:spacing w:before="300" w:after="300" w:line="240" w:lineRule="auto"/>
        <w:ind w:left="720" w:hanging="720"/>
        <w:jc w:val="both"/>
        <w:rPr>
          <w:rFonts w:ascii="Times New Roman" w:eastAsia="Roboto" w:hAnsi="Times New Roman" w:cs="Times New Roman"/>
          <w:color w:val="0D0D0D"/>
          <w:sz w:val="24"/>
          <w:szCs w:val="24"/>
        </w:rPr>
      </w:pPr>
      <w:proofErr w:type="spellStart"/>
      <w:proofErr w:type="gramStart"/>
      <w:r w:rsidRPr="00212DDD">
        <w:rPr>
          <w:rFonts w:ascii="Times New Roman" w:eastAsia="Roboto" w:hAnsi="Times New Roman" w:cs="Times New Roman"/>
          <w:color w:val="0D0D0D"/>
          <w:sz w:val="24"/>
          <w:szCs w:val="24"/>
        </w:rPr>
        <w:t>Bonuedi</w:t>
      </w:r>
      <w:proofErr w:type="spellEnd"/>
      <w:r w:rsidRPr="00212DDD">
        <w:rPr>
          <w:rFonts w:ascii="Times New Roman" w:eastAsia="Roboto" w:hAnsi="Times New Roman" w:cs="Times New Roman"/>
          <w:color w:val="0D0D0D"/>
          <w:sz w:val="24"/>
          <w:szCs w:val="24"/>
        </w:rPr>
        <w:t xml:space="preserve">, I., </w:t>
      </w:r>
      <w:proofErr w:type="spellStart"/>
      <w:r w:rsidRPr="00212DDD">
        <w:rPr>
          <w:rFonts w:ascii="Times New Roman" w:eastAsia="Roboto" w:hAnsi="Times New Roman" w:cs="Times New Roman"/>
          <w:color w:val="0D0D0D"/>
          <w:sz w:val="24"/>
          <w:szCs w:val="24"/>
        </w:rPr>
        <w:t>Kamasa</w:t>
      </w:r>
      <w:proofErr w:type="spellEnd"/>
      <w:r w:rsidRPr="00212DDD">
        <w:rPr>
          <w:rFonts w:ascii="Times New Roman" w:eastAsia="Roboto" w:hAnsi="Times New Roman" w:cs="Times New Roman"/>
          <w:color w:val="0D0D0D"/>
          <w:sz w:val="24"/>
          <w:szCs w:val="24"/>
        </w:rPr>
        <w:t xml:space="preserve">, K., &amp; </w:t>
      </w:r>
      <w:proofErr w:type="spellStart"/>
      <w:r w:rsidRPr="00212DDD">
        <w:rPr>
          <w:rFonts w:ascii="Times New Roman" w:eastAsia="Roboto" w:hAnsi="Times New Roman" w:cs="Times New Roman"/>
          <w:color w:val="0D0D0D"/>
          <w:sz w:val="24"/>
          <w:szCs w:val="24"/>
        </w:rPr>
        <w:t>Opoku</w:t>
      </w:r>
      <w:proofErr w:type="spellEnd"/>
      <w:r w:rsidRPr="00212DDD">
        <w:rPr>
          <w:rFonts w:ascii="Times New Roman" w:eastAsia="Roboto" w:hAnsi="Times New Roman" w:cs="Times New Roman"/>
          <w:color w:val="0D0D0D"/>
          <w:sz w:val="24"/>
          <w:szCs w:val="24"/>
        </w:rPr>
        <w:t>, E. (2020).</w:t>
      </w:r>
      <w:proofErr w:type="gramEnd"/>
      <w:r w:rsidRPr="00212DDD">
        <w:rPr>
          <w:rFonts w:ascii="Times New Roman" w:eastAsia="Roboto" w:hAnsi="Times New Roman" w:cs="Times New Roman"/>
          <w:color w:val="0D0D0D"/>
          <w:sz w:val="24"/>
          <w:szCs w:val="24"/>
        </w:rPr>
        <w:t xml:space="preserve"> </w:t>
      </w:r>
      <w:proofErr w:type="gramStart"/>
      <w:r w:rsidRPr="00212DDD">
        <w:rPr>
          <w:rFonts w:ascii="Times New Roman" w:eastAsia="Roboto" w:hAnsi="Times New Roman" w:cs="Times New Roman"/>
          <w:color w:val="0D0D0D"/>
          <w:sz w:val="24"/>
          <w:szCs w:val="24"/>
        </w:rPr>
        <w:t>Enabling trade across borders and food security in Africa.</w:t>
      </w:r>
      <w:proofErr w:type="gramEnd"/>
      <w:r w:rsidRPr="00212DDD">
        <w:rPr>
          <w:rFonts w:ascii="Times New Roman" w:eastAsia="Roboto" w:hAnsi="Times New Roman" w:cs="Times New Roman"/>
          <w:color w:val="0D0D0D"/>
          <w:sz w:val="24"/>
          <w:szCs w:val="24"/>
        </w:rPr>
        <w:t xml:space="preserve"> </w:t>
      </w:r>
      <w:r w:rsidRPr="00212DDD">
        <w:rPr>
          <w:rFonts w:ascii="Times New Roman" w:eastAsia="Roboto" w:hAnsi="Times New Roman" w:cs="Times New Roman"/>
          <w:i/>
          <w:color w:val="0D0D0D"/>
          <w:sz w:val="24"/>
          <w:szCs w:val="24"/>
        </w:rPr>
        <w:t>Food Security</w:t>
      </w:r>
      <w:r w:rsidRPr="00212DDD">
        <w:rPr>
          <w:rFonts w:ascii="Times New Roman" w:eastAsia="Roboto" w:hAnsi="Times New Roman" w:cs="Times New Roman"/>
          <w:color w:val="0D0D0D"/>
          <w:sz w:val="24"/>
          <w:szCs w:val="24"/>
        </w:rPr>
        <w:t>, 10.1007/s12571-020-01095-y</w:t>
      </w:r>
    </w:p>
    <w:p w14:paraId="0BBCF1A4" w14:textId="77777777" w:rsidR="00B217CC" w:rsidRPr="00212DDD" w:rsidRDefault="00B217CC" w:rsidP="00B217C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720" w:hanging="720"/>
        <w:jc w:val="both"/>
        <w:rPr>
          <w:rFonts w:ascii="Times New Roman" w:eastAsia="Roboto" w:hAnsi="Times New Roman" w:cs="Times New Roman"/>
          <w:color w:val="0D0D0D"/>
          <w:sz w:val="24"/>
          <w:szCs w:val="24"/>
        </w:rPr>
      </w:pPr>
      <w:proofErr w:type="spellStart"/>
      <w:r w:rsidRPr="00212DDD">
        <w:rPr>
          <w:rFonts w:ascii="Times New Roman" w:eastAsia="Roboto" w:hAnsi="Times New Roman" w:cs="Times New Roman"/>
          <w:color w:val="0D0D0D"/>
          <w:sz w:val="24"/>
          <w:szCs w:val="24"/>
        </w:rPr>
        <w:t>Braimoh</w:t>
      </w:r>
      <w:proofErr w:type="spellEnd"/>
      <w:r w:rsidRPr="00212DDD">
        <w:rPr>
          <w:rFonts w:ascii="Times New Roman" w:eastAsia="Roboto" w:hAnsi="Times New Roman" w:cs="Times New Roman"/>
          <w:color w:val="0D0D0D"/>
          <w:sz w:val="24"/>
          <w:szCs w:val="24"/>
        </w:rPr>
        <w:t xml:space="preserve">, A. (2020). </w:t>
      </w:r>
      <w:proofErr w:type="gramStart"/>
      <w:r w:rsidRPr="00212DDD">
        <w:rPr>
          <w:rFonts w:ascii="Times New Roman" w:eastAsia="Roboto" w:hAnsi="Times New Roman" w:cs="Times New Roman"/>
          <w:color w:val="0D0D0D"/>
          <w:sz w:val="24"/>
          <w:szCs w:val="24"/>
        </w:rPr>
        <w:t>Building Resilient Food Systems in Africa.</w:t>
      </w:r>
      <w:proofErr w:type="gramEnd"/>
      <w:r w:rsidRPr="00212DDD">
        <w:rPr>
          <w:rFonts w:ascii="Times New Roman" w:eastAsia="Roboto" w:hAnsi="Times New Roman" w:cs="Times New Roman"/>
          <w:color w:val="0D0D0D"/>
          <w:sz w:val="24"/>
          <w:szCs w:val="24"/>
        </w:rPr>
        <w:t xml:space="preserve"> </w:t>
      </w:r>
      <w:r w:rsidRPr="00212DDD">
        <w:rPr>
          <w:rFonts w:ascii="Times New Roman" w:eastAsia="Roboto" w:hAnsi="Times New Roman" w:cs="Times New Roman"/>
          <w:i/>
          <w:color w:val="0D0D0D"/>
          <w:sz w:val="24"/>
          <w:szCs w:val="24"/>
        </w:rPr>
        <w:t>One Earth</w:t>
      </w:r>
      <w:r w:rsidRPr="00212DDD">
        <w:rPr>
          <w:rFonts w:ascii="Times New Roman" w:eastAsia="Roboto" w:hAnsi="Times New Roman" w:cs="Times New Roman"/>
          <w:color w:val="0D0D0D"/>
          <w:sz w:val="24"/>
          <w:szCs w:val="24"/>
        </w:rPr>
        <w:t>, 10.1016/j.oneear.2020.08.014</w:t>
      </w:r>
    </w:p>
    <w:p w14:paraId="6A8EE356" w14:textId="77777777" w:rsidR="00B217CC" w:rsidRPr="00212DDD" w:rsidRDefault="00B217CC" w:rsidP="00B217C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720" w:hanging="720"/>
        <w:jc w:val="both"/>
        <w:rPr>
          <w:rFonts w:ascii="Times New Roman" w:eastAsia="Roboto" w:hAnsi="Times New Roman" w:cs="Times New Roman"/>
          <w:color w:val="0D0D0D"/>
          <w:sz w:val="24"/>
          <w:szCs w:val="24"/>
        </w:rPr>
      </w:pPr>
      <w:r w:rsidRPr="00212DDD">
        <w:rPr>
          <w:rFonts w:ascii="Times New Roman" w:eastAsia="Roboto" w:hAnsi="Times New Roman" w:cs="Times New Roman"/>
          <w:color w:val="0D0D0D"/>
          <w:sz w:val="24"/>
          <w:szCs w:val="24"/>
        </w:rPr>
        <w:t xml:space="preserve">Das, P. (2019). </w:t>
      </w:r>
      <w:proofErr w:type="gramStart"/>
      <w:r w:rsidRPr="00212DDD">
        <w:rPr>
          <w:rFonts w:ascii="Times New Roman" w:eastAsia="Roboto" w:hAnsi="Times New Roman" w:cs="Times New Roman"/>
          <w:color w:val="0D0D0D"/>
          <w:sz w:val="24"/>
          <w:szCs w:val="24"/>
        </w:rPr>
        <w:t>Panel Data Static Model: Testing of Hypotheses.</w:t>
      </w:r>
      <w:proofErr w:type="gramEnd"/>
      <w:r w:rsidRPr="00212DDD">
        <w:rPr>
          <w:rFonts w:ascii="Times New Roman" w:eastAsia="Roboto" w:hAnsi="Times New Roman" w:cs="Times New Roman"/>
          <w:color w:val="0D0D0D"/>
          <w:sz w:val="24"/>
          <w:szCs w:val="24"/>
        </w:rPr>
        <w:t xml:space="preserve"> </w:t>
      </w:r>
      <w:proofErr w:type="gramStart"/>
      <w:r w:rsidRPr="00212DDD">
        <w:rPr>
          <w:rFonts w:ascii="Times New Roman" w:eastAsia="Roboto" w:hAnsi="Times New Roman" w:cs="Times New Roman"/>
          <w:color w:val="0D0D0D"/>
          <w:sz w:val="24"/>
          <w:szCs w:val="24"/>
        </w:rPr>
        <w:t>In Econometrics in Theory and Practice.</w:t>
      </w:r>
      <w:proofErr w:type="gramEnd"/>
      <w:r w:rsidRPr="00212DDD">
        <w:rPr>
          <w:rFonts w:ascii="Times New Roman" w:eastAsia="Roboto" w:hAnsi="Times New Roman" w:cs="Times New Roman"/>
          <w:color w:val="0D0D0D"/>
          <w:sz w:val="24"/>
          <w:szCs w:val="24"/>
        </w:rPr>
        <w:t xml:space="preserve"> https://doi.org/10.1007/978-981-32-9019-8_16</w:t>
      </w:r>
    </w:p>
    <w:p w14:paraId="06B45461" w14:textId="77777777" w:rsidR="00B217CC" w:rsidRPr="00212DDD" w:rsidRDefault="00B217CC" w:rsidP="00B217C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720" w:hanging="720"/>
        <w:jc w:val="both"/>
        <w:rPr>
          <w:rFonts w:ascii="Times New Roman" w:eastAsia="Roboto" w:hAnsi="Times New Roman" w:cs="Times New Roman"/>
          <w:color w:val="0D0D0D"/>
          <w:sz w:val="24"/>
          <w:szCs w:val="24"/>
        </w:rPr>
      </w:pPr>
      <w:proofErr w:type="spellStart"/>
      <w:proofErr w:type="gramStart"/>
      <w:r w:rsidRPr="00212DDD">
        <w:rPr>
          <w:rFonts w:ascii="Times New Roman" w:eastAsia="Roboto" w:hAnsi="Times New Roman" w:cs="Times New Roman"/>
          <w:color w:val="0D0D0D"/>
          <w:sz w:val="24"/>
          <w:szCs w:val="24"/>
        </w:rPr>
        <w:t>Dijkshoorn</w:t>
      </w:r>
      <w:proofErr w:type="spellEnd"/>
      <w:r w:rsidRPr="00212DDD">
        <w:rPr>
          <w:rFonts w:ascii="Times New Roman" w:eastAsia="Roboto" w:hAnsi="Times New Roman" w:cs="Times New Roman"/>
          <w:color w:val="0D0D0D"/>
          <w:sz w:val="24"/>
          <w:szCs w:val="24"/>
        </w:rPr>
        <w:t xml:space="preserve">-Dekker, M., </w:t>
      </w:r>
      <w:proofErr w:type="spellStart"/>
      <w:r w:rsidRPr="00212DDD">
        <w:rPr>
          <w:rFonts w:ascii="Times New Roman" w:eastAsia="Roboto" w:hAnsi="Times New Roman" w:cs="Times New Roman"/>
          <w:color w:val="0D0D0D"/>
          <w:sz w:val="24"/>
          <w:szCs w:val="24"/>
        </w:rPr>
        <w:t>Linderhof</w:t>
      </w:r>
      <w:proofErr w:type="spellEnd"/>
      <w:r w:rsidRPr="00212DDD">
        <w:rPr>
          <w:rFonts w:ascii="Times New Roman" w:eastAsia="Roboto" w:hAnsi="Times New Roman" w:cs="Times New Roman"/>
          <w:color w:val="0D0D0D"/>
          <w:sz w:val="24"/>
          <w:szCs w:val="24"/>
        </w:rPr>
        <w:t xml:space="preserve">, V., Pinto, V., </w:t>
      </w:r>
      <w:proofErr w:type="spellStart"/>
      <w:r w:rsidRPr="00212DDD">
        <w:rPr>
          <w:rFonts w:ascii="Times New Roman" w:eastAsia="Roboto" w:hAnsi="Times New Roman" w:cs="Times New Roman"/>
          <w:color w:val="0D0D0D"/>
          <w:sz w:val="24"/>
          <w:szCs w:val="24"/>
        </w:rPr>
        <w:t>Hennen</w:t>
      </w:r>
      <w:proofErr w:type="spellEnd"/>
      <w:r w:rsidRPr="00212DDD">
        <w:rPr>
          <w:rFonts w:ascii="Times New Roman" w:eastAsia="Roboto" w:hAnsi="Times New Roman" w:cs="Times New Roman"/>
          <w:color w:val="0D0D0D"/>
          <w:sz w:val="24"/>
          <w:szCs w:val="24"/>
        </w:rPr>
        <w:t xml:space="preserve">, W., </w:t>
      </w:r>
      <w:proofErr w:type="spellStart"/>
      <w:r w:rsidRPr="00212DDD">
        <w:rPr>
          <w:rFonts w:ascii="Times New Roman" w:eastAsia="Roboto" w:hAnsi="Times New Roman" w:cs="Times New Roman"/>
          <w:color w:val="0D0D0D"/>
          <w:sz w:val="24"/>
          <w:szCs w:val="24"/>
        </w:rPr>
        <w:t>Oudendag</w:t>
      </w:r>
      <w:proofErr w:type="spellEnd"/>
      <w:r w:rsidRPr="00212DDD">
        <w:rPr>
          <w:rFonts w:ascii="Times New Roman" w:eastAsia="Roboto" w:hAnsi="Times New Roman" w:cs="Times New Roman"/>
          <w:color w:val="0D0D0D"/>
          <w:sz w:val="24"/>
          <w:szCs w:val="24"/>
        </w:rPr>
        <w:t xml:space="preserve">, D., Kuiper, M., </w:t>
      </w:r>
      <w:proofErr w:type="spellStart"/>
      <w:r w:rsidRPr="00212DDD">
        <w:rPr>
          <w:rFonts w:ascii="Times New Roman" w:eastAsia="Roboto" w:hAnsi="Times New Roman" w:cs="Times New Roman"/>
          <w:color w:val="0D0D0D"/>
          <w:sz w:val="24"/>
          <w:szCs w:val="24"/>
        </w:rPr>
        <w:t>Shutes</w:t>
      </w:r>
      <w:proofErr w:type="spellEnd"/>
      <w:r w:rsidRPr="00212DDD">
        <w:rPr>
          <w:rFonts w:ascii="Times New Roman" w:eastAsia="Roboto" w:hAnsi="Times New Roman" w:cs="Times New Roman"/>
          <w:color w:val="0D0D0D"/>
          <w:sz w:val="24"/>
          <w:szCs w:val="24"/>
        </w:rPr>
        <w:t xml:space="preserve">, L., &amp; </w:t>
      </w:r>
      <w:proofErr w:type="spellStart"/>
      <w:r w:rsidRPr="00212DDD">
        <w:rPr>
          <w:rFonts w:ascii="Times New Roman" w:eastAsia="Roboto" w:hAnsi="Times New Roman" w:cs="Times New Roman"/>
          <w:color w:val="0D0D0D"/>
          <w:sz w:val="24"/>
          <w:szCs w:val="24"/>
        </w:rPr>
        <w:t>Wass</w:t>
      </w:r>
      <w:proofErr w:type="spellEnd"/>
      <w:r w:rsidRPr="00212DDD">
        <w:rPr>
          <w:rFonts w:ascii="Times New Roman" w:eastAsia="Roboto" w:hAnsi="Times New Roman" w:cs="Times New Roman"/>
          <w:color w:val="0D0D0D"/>
          <w:sz w:val="24"/>
          <w:szCs w:val="24"/>
        </w:rPr>
        <w:t>.</w:t>
      </w:r>
      <w:proofErr w:type="gramEnd"/>
      <w:r w:rsidRPr="00212DDD">
        <w:rPr>
          <w:rFonts w:ascii="Times New Roman" w:eastAsia="Roboto" w:hAnsi="Times New Roman" w:cs="Times New Roman"/>
          <w:color w:val="0D0D0D"/>
          <w:sz w:val="24"/>
          <w:szCs w:val="24"/>
        </w:rPr>
        <w:t xml:space="preserve"> (2019). Transition support system approach for urban food security in the future: The case of Ghana. Retrieved from http://dx.doi.org/10.18174/476203</w:t>
      </w:r>
    </w:p>
    <w:p w14:paraId="4F15C390" w14:textId="77777777" w:rsidR="00B217CC" w:rsidRPr="00212DDD" w:rsidRDefault="00B217CC" w:rsidP="00B217C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720" w:hanging="720"/>
        <w:jc w:val="both"/>
        <w:rPr>
          <w:rFonts w:ascii="Times New Roman" w:eastAsia="Roboto" w:hAnsi="Times New Roman" w:cs="Times New Roman"/>
          <w:color w:val="0D0D0D"/>
          <w:sz w:val="24"/>
          <w:szCs w:val="24"/>
        </w:rPr>
      </w:pPr>
      <w:proofErr w:type="spellStart"/>
      <w:proofErr w:type="gramStart"/>
      <w:r w:rsidRPr="00212DDD">
        <w:rPr>
          <w:rFonts w:ascii="Times New Roman" w:eastAsia="Roboto" w:hAnsi="Times New Roman" w:cs="Times New Roman"/>
          <w:color w:val="0D0D0D"/>
          <w:sz w:val="24"/>
          <w:szCs w:val="24"/>
        </w:rPr>
        <w:t>Fontan</w:t>
      </w:r>
      <w:proofErr w:type="spellEnd"/>
      <w:r w:rsidRPr="00212DDD">
        <w:rPr>
          <w:rFonts w:ascii="Times New Roman" w:eastAsia="Roboto" w:hAnsi="Times New Roman" w:cs="Times New Roman"/>
          <w:color w:val="0D0D0D"/>
          <w:sz w:val="24"/>
          <w:szCs w:val="24"/>
        </w:rPr>
        <w:t xml:space="preserve"> </w:t>
      </w:r>
      <w:proofErr w:type="spellStart"/>
      <w:r w:rsidRPr="00212DDD">
        <w:rPr>
          <w:rFonts w:ascii="Times New Roman" w:eastAsia="Roboto" w:hAnsi="Times New Roman" w:cs="Times New Roman"/>
          <w:color w:val="0D0D0D"/>
          <w:sz w:val="24"/>
          <w:szCs w:val="24"/>
        </w:rPr>
        <w:t>Sers</w:t>
      </w:r>
      <w:proofErr w:type="spellEnd"/>
      <w:r w:rsidRPr="00212DDD">
        <w:rPr>
          <w:rFonts w:ascii="Times New Roman" w:eastAsia="Roboto" w:hAnsi="Times New Roman" w:cs="Times New Roman"/>
          <w:color w:val="0D0D0D"/>
          <w:sz w:val="24"/>
          <w:szCs w:val="24"/>
        </w:rPr>
        <w:t>, C., &amp; Mughal, M. (2019).</w:t>
      </w:r>
      <w:proofErr w:type="gramEnd"/>
      <w:r w:rsidRPr="00212DDD">
        <w:rPr>
          <w:rFonts w:ascii="Times New Roman" w:eastAsia="Roboto" w:hAnsi="Times New Roman" w:cs="Times New Roman"/>
          <w:color w:val="0D0D0D"/>
          <w:sz w:val="24"/>
          <w:szCs w:val="24"/>
        </w:rPr>
        <w:t xml:space="preserve"> From Maputo to Malabo: public agricultural spending and food security in Africa. </w:t>
      </w:r>
      <w:r w:rsidRPr="00212DDD">
        <w:rPr>
          <w:rFonts w:ascii="Times New Roman" w:eastAsia="Roboto" w:hAnsi="Times New Roman" w:cs="Times New Roman"/>
          <w:i/>
          <w:color w:val="0D0D0D"/>
          <w:sz w:val="24"/>
          <w:szCs w:val="24"/>
        </w:rPr>
        <w:t>Applied Economics</w:t>
      </w:r>
      <w:r w:rsidRPr="00212DDD">
        <w:rPr>
          <w:rFonts w:ascii="Times New Roman" w:eastAsia="Roboto" w:hAnsi="Times New Roman" w:cs="Times New Roman"/>
          <w:color w:val="0D0D0D"/>
          <w:sz w:val="24"/>
          <w:szCs w:val="24"/>
        </w:rPr>
        <w:t>, 10.1080/00036846.2019.1606411</w:t>
      </w:r>
    </w:p>
    <w:p w14:paraId="10FC393E" w14:textId="77777777" w:rsidR="00B217CC" w:rsidRPr="00212DDD" w:rsidRDefault="00B217CC" w:rsidP="00B217C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720" w:hanging="720"/>
        <w:jc w:val="both"/>
        <w:rPr>
          <w:rFonts w:ascii="Times New Roman" w:eastAsia="Roboto" w:hAnsi="Times New Roman" w:cs="Times New Roman"/>
          <w:color w:val="0D0D0D"/>
          <w:sz w:val="24"/>
          <w:szCs w:val="24"/>
        </w:rPr>
      </w:pPr>
      <w:r w:rsidRPr="00212DDD">
        <w:rPr>
          <w:rFonts w:ascii="Times New Roman" w:eastAsia="Roboto" w:hAnsi="Times New Roman" w:cs="Times New Roman"/>
          <w:color w:val="0D0D0D"/>
          <w:sz w:val="24"/>
          <w:szCs w:val="24"/>
        </w:rPr>
        <w:t xml:space="preserve">Fusco, G. (2022). Climate Change and Food Security in the Northern and Eastern African Regions: A Panel Data Analysis. </w:t>
      </w:r>
      <w:r w:rsidRPr="00212DDD">
        <w:rPr>
          <w:rFonts w:ascii="Times New Roman" w:eastAsia="Roboto" w:hAnsi="Times New Roman" w:cs="Times New Roman"/>
          <w:i/>
          <w:color w:val="0D0D0D"/>
          <w:sz w:val="24"/>
          <w:szCs w:val="24"/>
        </w:rPr>
        <w:t>Sustainability</w:t>
      </w:r>
      <w:r w:rsidRPr="00212DDD">
        <w:rPr>
          <w:rFonts w:ascii="Times New Roman" w:eastAsia="Roboto" w:hAnsi="Times New Roman" w:cs="Times New Roman"/>
          <w:color w:val="0D0D0D"/>
          <w:sz w:val="24"/>
          <w:szCs w:val="24"/>
        </w:rPr>
        <w:t>, 10.3390/su141912664</w:t>
      </w:r>
    </w:p>
    <w:p w14:paraId="372CAF67" w14:textId="77777777" w:rsidR="00B217CC" w:rsidRPr="00212DDD" w:rsidRDefault="00B217CC" w:rsidP="00B217C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720" w:hanging="720"/>
        <w:jc w:val="both"/>
        <w:rPr>
          <w:rFonts w:ascii="Times New Roman" w:eastAsia="Roboto" w:hAnsi="Times New Roman" w:cs="Times New Roman"/>
          <w:color w:val="0D0D0D"/>
          <w:sz w:val="24"/>
          <w:szCs w:val="24"/>
        </w:rPr>
      </w:pPr>
      <w:proofErr w:type="spellStart"/>
      <w:proofErr w:type="gramStart"/>
      <w:r w:rsidRPr="00212DDD">
        <w:rPr>
          <w:rFonts w:ascii="Times New Roman" w:eastAsia="Roboto" w:hAnsi="Times New Roman" w:cs="Times New Roman"/>
          <w:color w:val="0D0D0D"/>
          <w:sz w:val="24"/>
          <w:szCs w:val="24"/>
        </w:rPr>
        <w:t>Giller</w:t>
      </w:r>
      <w:proofErr w:type="spellEnd"/>
      <w:r w:rsidRPr="00212DDD">
        <w:rPr>
          <w:rFonts w:ascii="Times New Roman" w:eastAsia="Roboto" w:hAnsi="Times New Roman" w:cs="Times New Roman"/>
          <w:color w:val="0D0D0D"/>
          <w:sz w:val="24"/>
          <w:szCs w:val="24"/>
        </w:rPr>
        <w:t>, K. (2020).</w:t>
      </w:r>
      <w:proofErr w:type="gramEnd"/>
      <w:r w:rsidRPr="00212DDD">
        <w:rPr>
          <w:rFonts w:ascii="Times New Roman" w:eastAsia="Roboto" w:hAnsi="Times New Roman" w:cs="Times New Roman"/>
          <w:color w:val="0D0D0D"/>
          <w:sz w:val="24"/>
          <w:szCs w:val="24"/>
        </w:rPr>
        <w:t xml:space="preserve"> The Food Security Conundrum of sub-Saharan Africa. </w:t>
      </w:r>
      <w:r w:rsidRPr="00212DDD">
        <w:rPr>
          <w:rFonts w:ascii="Times New Roman" w:eastAsia="Roboto" w:hAnsi="Times New Roman" w:cs="Times New Roman"/>
          <w:i/>
          <w:color w:val="0D0D0D"/>
          <w:sz w:val="24"/>
          <w:szCs w:val="24"/>
        </w:rPr>
        <w:t>Global Food Security</w:t>
      </w:r>
      <w:r w:rsidRPr="00212DDD">
        <w:rPr>
          <w:rFonts w:ascii="Times New Roman" w:eastAsia="Roboto" w:hAnsi="Times New Roman" w:cs="Times New Roman"/>
          <w:color w:val="0D0D0D"/>
          <w:sz w:val="24"/>
          <w:szCs w:val="24"/>
        </w:rPr>
        <w:t>, 10.1016/j.gfs.2020.100431</w:t>
      </w:r>
    </w:p>
    <w:p w14:paraId="4851DEE1" w14:textId="77777777" w:rsidR="00B217CC" w:rsidRPr="00212DDD" w:rsidRDefault="00B217CC" w:rsidP="00B217C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720" w:hanging="720"/>
        <w:jc w:val="both"/>
        <w:rPr>
          <w:rFonts w:ascii="Times New Roman" w:eastAsia="Roboto" w:hAnsi="Times New Roman" w:cs="Times New Roman"/>
          <w:color w:val="0D0D0D"/>
          <w:sz w:val="24"/>
          <w:szCs w:val="24"/>
        </w:rPr>
      </w:pPr>
      <w:r w:rsidRPr="00212DDD">
        <w:rPr>
          <w:rFonts w:ascii="Times New Roman" w:eastAsia="Roboto" w:hAnsi="Times New Roman" w:cs="Times New Roman"/>
          <w:color w:val="0D0D0D"/>
          <w:sz w:val="24"/>
          <w:szCs w:val="24"/>
        </w:rPr>
        <w:t xml:space="preserve">Hassan, M., </w:t>
      </w:r>
      <w:proofErr w:type="spellStart"/>
      <w:r w:rsidRPr="00212DDD">
        <w:rPr>
          <w:rFonts w:ascii="Times New Roman" w:eastAsia="Roboto" w:hAnsi="Times New Roman" w:cs="Times New Roman"/>
          <w:color w:val="0D0D0D"/>
          <w:sz w:val="24"/>
          <w:szCs w:val="24"/>
        </w:rPr>
        <w:t>Saif</w:t>
      </w:r>
      <w:proofErr w:type="spellEnd"/>
      <w:r w:rsidRPr="00212DDD">
        <w:rPr>
          <w:rFonts w:ascii="Times New Roman" w:eastAsia="Roboto" w:hAnsi="Times New Roman" w:cs="Times New Roman"/>
          <w:color w:val="0D0D0D"/>
          <w:sz w:val="24"/>
          <w:szCs w:val="24"/>
        </w:rPr>
        <w:t xml:space="preserve">, K., </w:t>
      </w:r>
      <w:proofErr w:type="spellStart"/>
      <w:r w:rsidRPr="00212DDD">
        <w:rPr>
          <w:rFonts w:ascii="Times New Roman" w:eastAsia="Roboto" w:hAnsi="Times New Roman" w:cs="Times New Roman"/>
          <w:color w:val="0D0D0D"/>
          <w:sz w:val="24"/>
          <w:szCs w:val="24"/>
        </w:rPr>
        <w:t>Ijaz</w:t>
      </w:r>
      <w:proofErr w:type="spellEnd"/>
      <w:r w:rsidRPr="00212DDD">
        <w:rPr>
          <w:rFonts w:ascii="Times New Roman" w:eastAsia="Roboto" w:hAnsi="Times New Roman" w:cs="Times New Roman"/>
          <w:color w:val="0D0D0D"/>
          <w:sz w:val="24"/>
          <w:szCs w:val="24"/>
        </w:rPr>
        <w:t xml:space="preserve">, M. S., </w:t>
      </w:r>
      <w:proofErr w:type="spellStart"/>
      <w:r w:rsidRPr="00212DDD">
        <w:rPr>
          <w:rFonts w:ascii="Times New Roman" w:eastAsia="Roboto" w:hAnsi="Times New Roman" w:cs="Times New Roman"/>
          <w:color w:val="0D0D0D"/>
          <w:sz w:val="24"/>
          <w:szCs w:val="24"/>
        </w:rPr>
        <w:t>Sarfraz</w:t>
      </w:r>
      <w:proofErr w:type="spellEnd"/>
      <w:r w:rsidRPr="00212DDD">
        <w:rPr>
          <w:rFonts w:ascii="Times New Roman" w:eastAsia="Roboto" w:hAnsi="Times New Roman" w:cs="Times New Roman"/>
          <w:color w:val="0D0D0D"/>
          <w:sz w:val="24"/>
          <w:szCs w:val="24"/>
        </w:rPr>
        <w:t xml:space="preserve">, Z., </w:t>
      </w:r>
      <w:proofErr w:type="spellStart"/>
      <w:r w:rsidRPr="00212DDD">
        <w:rPr>
          <w:rFonts w:ascii="Times New Roman" w:eastAsia="Roboto" w:hAnsi="Times New Roman" w:cs="Times New Roman"/>
          <w:color w:val="0D0D0D"/>
          <w:sz w:val="24"/>
          <w:szCs w:val="24"/>
        </w:rPr>
        <w:t>Sarfraz</w:t>
      </w:r>
      <w:proofErr w:type="spellEnd"/>
      <w:r w:rsidRPr="00212DDD">
        <w:rPr>
          <w:rFonts w:ascii="Times New Roman" w:eastAsia="Roboto" w:hAnsi="Times New Roman" w:cs="Times New Roman"/>
          <w:color w:val="0D0D0D"/>
          <w:sz w:val="24"/>
          <w:szCs w:val="24"/>
        </w:rPr>
        <w:t>, A., Robles-Velasco, K</w:t>
      </w:r>
      <w:proofErr w:type="gramStart"/>
      <w:r w:rsidRPr="00212DDD">
        <w:rPr>
          <w:rFonts w:ascii="Times New Roman" w:eastAsia="Roboto" w:hAnsi="Times New Roman" w:cs="Times New Roman"/>
          <w:color w:val="0D0D0D"/>
          <w:sz w:val="24"/>
          <w:szCs w:val="24"/>
        </w:rPr>
        <w:t>., ...</w:t>
      </w:r>
      <w:proofErr w:type="gramEnd"/>
      <w:r w:rsidRPr="00212DDD">
        <w:rPr>
          <w:rFonts w:ascii="Times New Roman" w:eastAsia="Roboto" w:hAnsi="Times New Roman" w:cs="Times New Roman"/>
          <w:color w:val="0D0D0D"/>
          <w:sz w:val="24"/>
          <w:szCs w:val="24"/>
        </w:rPr>
        <w:t xml:space="preserve"> </w:t>
      </w:r>
      <w:proofErr w:type="spellStart"/>
      <w:r w:rsidRPr="00212DDD">
        <w:rPr>
          <w:rFonts w:ascii="Times New Roman" w:eastAsia="Roboto" w:hAnsi="Times New Roman" w:cs="Times New Roman"/>
          <w:color w:val="0D0D0D"/>
          <w:sz w:val="24"/>
          <w:szCs w:val="24"/>
        </w:rPr>
        <w:t>Chérrez</w:t>
      </w:r>
      <w:proofErr w:type="spellEnd"/>
      <w:r w:rsidRPr="00212DDD">
        <w:rPr>
          <w:rFonts w:ascii="Times New Roman" w:eastAsia="Roboto" w:hAnsi="Times New Roman" w:cs="Times New Roman"/>
          <w:color w:val="0D0D0D"/>
          <w:sz w:val="24"/>
          <w:szCs w:val="24"/>
        </w:rPr>
        <w:t xml:space="preserve">-Ojeda, I. (2023). Mean Temperature and Drought Projections in Central Africa: A Population-Based Study of Food Insecurity, Childhood Malnutrition and Mortality, and Infectious Disease. </w:t>
      </w:r>
      <w:r w:rsidRPr="00212DDD">
        <w:rPr>
          <w:rFonts w:ascii="Times New Roman" w:eastAsia="Roboto" w:hAnsi="Times New Roman" w:cs="Times New Roman"/>
          <w:i/>
          <w:color w:val="0D0D0D"/>
          <w:sz w:val="24"/>
          <w:szCs w:val="24"/>
        </w:rPr>
        <w:t>International Journal of Environmental Research and Public Health</w:t>
      </w:r>
      <w:r w:rsidRPr="00212DDD">
        <w:rPr>
          <w:rFonts w:ascii="Times New Roman" w:eastAsia="Roboto" w:hAnsi="Times New Roman" w:cs="Times New Roman"/>
          <w:color w:val="0D0D0D"/>
          <w:sz w:val="24"/>
          <w:szCs w:val="24"/>
        </w:rPr>
        <w:t>, 10.3390/ijerph20032697</w:t>
      </w:r>
    </w:p>
    <w:p w14:paraId="07E03D20" w14:textId="77777777" w:rsidR="00B217CC" w:rsidRPr="00212DDD" w:rsidRDefault="00B217CC" w:rsidP="00B217C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720" w:hanging="720"/>
        <w:jc w:val="both"/>
        <w:rPr>
          <w:rFonts w:ascii="Times New Roman" w:eastAsia="Roboto" w:hAnsi="Times New Roman" w:cs="Times New Roman"/>
          <w:color w:val="0D0D0D"/>
          <w:sz w:val="24"/>
          <w:szCs w:val="24"/>
        </w:rPr>
      </w:pPr>
      <w:proofErr w:type="spellStart"/>
      <w:proofErr w:type="gramStart"/>
      <w:r w:rsidRPr="00212DDD">
        <w:rPr>
          <w:rFonts w:ascii="Times New Roman" w:eastAsia="Roboto" w:hAnsi="Times New Roman" w:cs="Times New Roman"/>
          <w:color w:val="0D0D0D"/>
          <w:sz w:val="24"/>
          <w:szCs w:val="24"/>
        </w:rPr>
        <w:t>Hemed</w:t>
      </w:r>
      <w:proofErr w:type="spellEnd"/>
      <w:r w:rsidRPr="00212DDD">
        <w:rPr>
          <w:rFonts w:ascii="Times New Roman" w:eastAsia="Roboto" w:hAnsi="Times New Roman" w:cs="Times New Roman"/>
          <w:color w:val="0D0D0D"/>
          <w:sz w:val="24"/>
          <w:szCs w:val="24"/>
        </w:rPr>
        <w:t>, I. (2019).</w:t>
      </w:r>
      <w:proofErr w:type="gramEnd"/>
      <w:r w:rsidRPr="00212DDD">
        <w:rPr>
          <w:rFonts w:ascii="Times New Roman" w:eastAsia="Roboto" w:hAnsi="Times New Roman" w:cs="Times New Roman"/>
          <w:color w:val="0D0D0D"/>
          <w:sz w:val="24"/>
          <w:szCs w:val="24"/>
        </w:rPr>
        <w:t xml:space="preserve"> </w:t>
      </w:r>
      <w:proofErr w:type="gramStart"/>
      <w:r w:rsidRPr="00212DDD">
        <w:rPr>
          <w:rFonts w:ascii="Times New Roman" w:eastAsia="Roboto" w:hAnsi="Times New Roman" w:cs="Times New Roman"/>
          <w:color w:val="0D0D0D"/>
          <w:sz w:val="24"/>
          <w:szCs w:val="24"/>
        </w:rPr>
        <w:t>THE IMPACTS OF POLITICAL REGIME AND GOVERNANCE ON GROWTH OF EAST AFRICAN ECONOMIES.</w:t>
      </w:r>
      <w:proofErr w:type="gramEnd"/>
      <w:r w:rsidRPr="00212DDD">
        <w:rPr>
          <w:rFonts w:ascii="Times New Roman" w:eastAsia="Roboto" w:hAnsi="Times New Roman" w:cs="Times New Roman"/>
          <w:color w:val="0D0D0D"/>
          <w:sz w:val="24"/>
          <w:szCs w:val="24"/>
        </w:rPr>
        <w:t xml:space="preserve"> </w:t>
      </w:r>
      <w:r w:rsidRPr="00212DDD">
        <w:rPr>
          <w:rFonts w:ascii="Times New Roman" w:eastAsia="Roboto" w:hAnsi="Times New Roman" w:cs="Times New Roman"/>
          <w:i/>
          <w:color w:val="0D0D0D"/>
          <w:sz w:val="24"/>
          <w:szCs w:val="24"/>
        </w:rPr>
        <w:t>EPRA International Journal of Research &amp; Development (IJRD)</w:t>
      </w:r>
      <w:r w:rsidRPr="00212DDD">
        <w:rPr>
          <w:rFonts w:ascii="Times New Roman" w:eastAsia="Roboto" w:hAnsi="Times New Roman" w:cs="Times New Roman"/>
          <w:color w:val="0D0D0D"/>
          <w:sz w:val="24"/>
          <w:szCs w:val="24"/>
        </w:rPr>
        <w:t>, 10.36713/epra3732</w:t>
      </w:r>
    </w:p>
    <w:p w14:paraId="4095B0DE" w14:textId="77777777" w:rsidR="00B217CC" w:rsidRPr="00212DDD" w:rsidRDefault="00B217CC" w:rsidP="00B217C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720" w:hanging="720"/>
        <w:jc w:val="both"/>
        <w:rPr>
          <w:rFonts w:ascii="Times New Roman" w:eastAsia="Roboto" w:hAnsi="Times New Roman" w:cs="Times New Roman"/>
          <w:color w:val="0D0D0D"/>
          <w:sz w:val="24"/>
          <w:szCs w:val="24"/>
        </w:rPr>
      </w:pPr>
      <w:proofErr w:type="gramStart"/>
      <w:r w:rsidRPr="00212DDD">
        <w:rPr>
          <w:rFonts w:ascii="Times New Roman" w:eastAsia="Roboto" w:hAnsi="Times New Roman" w:cs="Times New Roman"/>
          <w:color w:val="0D0D0D"/>
          <w:sz w:val="24"/>
          <w:szCs w:val="24"/>
        </w:rPr>
        <w:t xml:space="preserve">Hill, T. D., Davis, A., </w:t>
      </w:r>
      <w:proofErr w:type="spellStart"/>
      <w:r w:rsidRPr="00212DDD">
        <w:rPr>
          <w:rFonts w:ascii="Times New Roman" w:eastAsia="Roboto" w:hAnsi="Times New Roman" w:cs="Times New Roman"/>
          <w:color w:val="0D0D0D"/>
          <w:sz w:val="24"/>
          <w:szCs w:val="24"/>
        </w:rPr>
        <w:t>Roos</w:t>
      </w:r>
      <w:proofErr w:type="spellEnd"/>
      <w:r w:rsidRPr="00212DDD">
        <w:rPr>
          <w:rFonts w:ascii="Times New Roman" w:eastAsia="Roboto" w:hAnsi="Times New Roman" w:cs="Times New Roman"/>
          <w:color w:val="0D0D0D"/>
          <w:sz w:val="24"/>
          <w:szCs w:val="24"/>
        </w:rPr>
        <w:t>, J. M., &amp; French, M. (2020).</w:t>
      </w:r>
      <w:proofErr w:type="gramEnd"/>
      <w:r w:rsidRPr="00212DDD">
        <w:rPr>
          <w:rFonts w:ascii="Times New Roman" w:eastAsia="Roboto" w:hAnsi="Times New Roman" w:cs="Times New Roman"/>
          <w:color w:val="0D0D0D"/>
          <w:sz w:val="24"/>
          <w:szCs w:val="24"/>
        </w:rPr>
        <w:t xml:space="preserve"> </w:t>
      </w:r>
      <w:proofErr w:type="gramStart"/>
      <w:r w:rsidRPr="00212DDD">
        <w:rPr>
          <w:rFonts w:ascii="Times New Roman" w:eastAsia="Roboto" w:hAnsi="Times New Roman" w:cs="Times New Roman"/>
          <w:color w:val="0D0D0D"/>
          <w:sz w:val="24"/>
          <w:szCs w:val="24"/>
        </w:rPr>
        <w:t>Limitations of Fixed-Effects Models for Panel Data.</w:t>
      </w:r>
      <w:proofErr w:type="gramEnd"/>
      <w:r w:rsidRPr="00212DDD">
        <w:rPr>
          <w:rFonts w:ascii="Times New Roman" w:eastAsia="Roboto" w:hAnsi="Times New Roman" w:cs="Times New Roman"/>
          <w:color w:val="0D0D0D"/>
          <w:sz w:val="24"/>
          <w:szCs w:val="24"/>
        </w:rPr>
        <w:t xml:space="preserve"> Sociological Perspectives, 63(1), 77-101. https://doi.org/10.1177/0731121419863785</w:t>
      </w:r>
    </w:p>
    <w:p w14:paraId="49AF0FFC" w14:textId="77777777" w:rsidR="00B217CC" w:rsidRPr="00212DDD" w:rsidRDefault="00B217CC" w:rsidP="00B217C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720" w:hanging="720"/>
        <w:jc w:val="both"/>
        <w:rPr>
          <w:rFonts w:ascii="Times New Roman" w:eastAsia="Roboto" w:hAnsi="Times New Roman" w:cs="Times New Roman"/>
          <w:color w:val="0D0D0D"/>
          <w:sz w:val="24"/>
          <w:szCs w:val="24"/>
        </w:rPr>
      </w:pPr>
      <w:proofErr w:type="spellStart"/>
      <w:proofErr w:type="gramStart"/>
      <w:r w:rsidRPr="00212DDD">
        <w:rPr>
          <w:rFonts w:ascii="Times New Roman" w:eastAsia="Roboto" w:hAnsi="Times New Roman" w:cs="Times New Roman"/>
          <w:color w:val="0D0D0D"/>
          <w:sz w:val="24"/>
          <w:szCs w:val="24"/>
        </w:rPr>
        <w:t>Khodaverdian</w:t>
      </w:r>
      <w:proofErr w:type="spellEnd"/>
      <w:r w:rsidRPr="00212DDD">
        <w:rPr>
          <w:rFonts w:ascii="Times New Roman" w:eastAsia="Roboto" w:hAnsi="Times New Roman" w:cs="Times New Roman"/>
          <w:color w:val="0D0D0D"/>
          <w:sz w:val="24"/>
          <w:szCs w:val="24"/>
        </w:rPr>
        <w:t>, S. (2021).</w:t>
      </w:r>
      <w:proofErr w:type="gramEnd"/>
      <w:r w:rsidRPr="00212DDD">
        <w:rPr>
          <w:rFonts w:ascii="Times New Roman" w:eastAsia="Roboto" w:hAnsi="Times New Roman" w:cs="Times New Roman"/>
          <w:color w:val="0D0D0D"/>
          <w:sz w:val="24"/>
          <w:szCs w:val="24"/>
        </w:rPr>
        <w:t xml:space="preserve"> The African tragedy: the effect of democracy on economic growth. </w:t>
      </w:r>
      <w:r w:rsidRPr="00212DDD">
        <w:rPr>
          <w:rFonts w:ascii="Times New Roman" w:eastAsia="Roboto" w:hAnsi="Times New Roman" w:cs="Times New Roman"/>
          <w:i/>
          <w:color w:val="0D0D0D"/>
          <w:sz w:val="24"/>
          <w:szCs w:val="24"/>
        </w:rPr>
        <w:t>Empirical Economics</w:t>
      </w:r>
      <w:r w:rsidRPr="00212DDD">
        <w:rPr>
          <w:rFonts w:ascii="Times New Roman" w:eastAsia="Roboto" w:hAnsi="Times New Roman" w:cs="Times New Roman"/>
          <w:color w:val="0D0D0D"/>
          <w:sz w:val="24"/>
          <w:szCs w:val="24"/>
        </w:rPr>
        <w:t>, 10.1007/s00181-021-02049-9</w:t>
      </w:r>
    </w:p>
    <w:p w14:paraId="5C05207E" w14:textId="77777777" w:rsidR="00B217CC" w:rsidRPr="00212DDD" w:rsidRDefault="00B217CC" w:rsidP="00B217CC">
      <w:pPr>
        <w:spacing w:line="240" w:lineRule="auto"/>
        <w:ind w:left="720" w:hanging="720"/>
        <w:jc w:val="both"/>
        <w:rPr>
          <w:rFonts w:ascii="Times New Roman" w:hAnsi="Times New Roman" w:cs="Times New Roman"/>
          <w:color w:val="374151"/>
          <w:sz w:val="24"/>
          <w:szCs w:val="24"/>
        </w:rPr>
      </w:pPr>
      <w:proofErr w:type="spellStart"/>
      <w:r w:rsidRPr="00212DDD">
        <w:rPr>
          <w:rFonts w:ascii="Times New Roman" w:hAnsi="Times New Roman" w:cs="Times New Roman"/>
          <w:color w:val="374151"/>
          <w:sz w:val="24"/>
          <w:szCs w:val="24"/>
        </w:rPr>
        <w:t>Kinda</w:t>
      </w:r>
      <w:proofErr w:type="spellEnd"/>
      <w:r w:rsidRPr="00212DDD">
        <w:rPr>
          <w:rFonts w:ascii="Times New Roman" w:hAnsi="Times New Roman" w:cs="Times New Roman"/>
          <w:color w:val="374151"/>
          <w:sz w:val="24"/>
          <w:szCs w:val="24"/>
        </w:rPr>
        <w:t xml:space="preserve">, S. (2021). Does the green economy foster food security in Sub-Saharan Africa? </w:t>
      </w:r>
      <w:proofErr w:type="gramStart"/>
      <w:r w:rsidRPr="00212DDD">
        <w:rPr>
          <w:rFonts w:ascii="Times New Roman" w:hAnsi="Times New Roman" w:cs="Times New Roman"/>
          <w:i/>
          <w:color w:val="374151"/>
          <w:sz w:val="24"/>
          <w:szCs w:val="24"/>
        </w:rPr>
        <w:t>Cogent Economics &amp; Finance</w:t>
      </w:r>
      <w:r w:rsidRPr="00212DDD">
        <w:rPr>
          <w:rFonts w:ascii="Times New Roman" w:hAnsi="Times New Roman" w:cs="Times New Roman"/>
          <w:color w:val="374151"/>
          <w:sz w:val="24"/>
          <w:szCs w:val="24"/>
        </w:rPr>
        <w:t>, 9.</w:t>
      </w:r>
      <w:proofErr w:type="gramEnd"/>
      <w:r w:rsidRPr="00212DDD">
        <w:rPr>
          <w:rFonts w:ascii="Times New Roman" w:hAnsi="Times New Roman" w:cs="Times New Roman"/>
          <w:color w:val="374151"/>
          <w:sz w:val="24"/>
          <w:szCs w:val="24"/>
        </w:rPr>
        <w:t xml:space="preserve"> </w:t>
      </w:r>
      <w:hyperlink r:id="rId11">
        <w:r w:rsidRPr="00212DDD">
          <w:rPr>
            <w:rFonts w:ascii="Times New Roman" w:hAnsi="Times New Roman" w:cs="Times New Roman"/>
            <w:color w:val="1155CC"/>
            <w:sz w:val="24"/>
            <w:szCs w:val="24"/>
            <w:u w:val="single"/>
          </w:rPr>
          <w:t>https://doi.org/10.1080/23322039.2021.1921911</w:t>
        </w:r>
      </w:hyperlink>
      <w:r w:rsidRPr="00212DDD">
        <w:rPr>
          <w:rFonts w:ascii="Times New Roman" w:hAnsi="Times New Roman" w:cs="Times New Roman"/>
          <w:color w:val="374151"/>
          <w:sz w:val="24"/>
          <w:szCs w:val="24"/>
        </w:rPr>
        <w:t>.</w:t>
      </w:r>
    </w:p>
    <w:p w14:paraId="4BBC7BD5" w14:textId="77777777" w:rsidR="00B217CC" w:rsidRPr="00212DDD" w:rsidRDefault="00B217CC" w:rsidP="00B217C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ind w:left="720" w:hanging="720"/>
        <w:jc w:val="both"/>
        <w:rPr>
          <w:rFonts w:ascii="Times New Roman" w:eastAsia="Roboto" w:hAnsi="Times New Roman" w:cs="Times New Roman"/>
          <w:color w:val="0D0D0D"/>
          <w:sz w:val="24"/>
          <w:szCs w:val="24"/>
        </w:rPr>
      </w:pPr>
      <w:proofErr w:type="spellStart"/>
      <w:proofErr w:type="gramStart"/>
      <w:r w:rsidRPr="00212DDD">
        <w:rPr>
          <w:rFonts w:ascii="Times New Roman" w:eastAsia="Roboto" w:hAnsi="Times New Roman" w:cs="Times New Roman"/>
          <w:color w:val="0D0D0D"/>
          <w:sz w:val="24"/>
          <w:szCs w:val="24"/>
        </w:rPr>
        <w:t>Mérel</w:t>
      </w:r>
      <w:proofErr w:type="spellEnd"/>
      <w:r w:rsidRPr="00212DDD">
        <w:rPr>
          <w:rFonts w:ascii="Times New Roman" w:eastAsia="Roboto" w:hAnsi="Times New Roman" w:cs="Times New Roman"/>
          <w:color w:val="0D0D0D"/>
          <w:sz w:val="24"/>
          <w:szCs w:val="24"/>
        </w:rPr>
        <w:t xml:space="preserve">, P., &amp; </w:t>
      </w:r>
      <w:proofErr w:type="spellStart"/>
      <w:r w:rsidRPr="00212DDD">
        <w:rPr>
          <w:rFonts w:ascii="Times New Roman" w:eastAsia="Roboto" w:hAnsi="Times New Roman" w:cs="Times New Roman"/>
          <w:color w:val="0D0D0D"/>
          <w:sz w:val="24"/>
          <w:szCs w:val="24"/>
        </w:rPr>
        <w:t>Gammans</w:t>
      </w:r>
      <w:proofErr w:type="spellEnd"/>
      <w:r w:rsidRPr="00212DDD">
        <w:rPr>
          <w:rFonts w:ascii="Times New Roman" w:eastAsia="Roboto" w:hAnsi="Times New Roman" w:cs="Times New Roman"/>
          <w:color w:val="0D0D0D"/>
          <w:sz w:val="24"/>
          <w:szCs w:val="24"/>
        </w:rPr>
        <w:t>, M. (2018).</w:t>
      </w:r>
      <w:proofErr w:type="gramEnd"/>
      <w:r w:rsidRPr="00212DDD">
        <w:rPr>
          <w:rFonts w:ascii="Times New Roman" w:eastAsia="Roboto" w:hAnsi="Times New Roman" w:cs="Times New Roman"/>
          <w:color w:val="0D0D0D"/>
          <w:sz w:val="24"/>
          <w:szCs w:val="24"/>
        </w:rPr>
        <w:t xml:space="preserve"> Climate Econometrics: Can the Panel Approach Account for Long‐Run Adaptation? American Journal of Agricultural Economics, 100(1), 259-278. https://doi.org/10.1111/AJAE.12200</w:t>
      </w:r>
    </w:p>
    <w:p w14:paraId="18E77019" w14:textId="77777777" w:rsidR="00B217CC" w:rsidRPr="00212DDD" w:rsidRDefault="00B217CC" w:rsidP="00B217C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720" w:hanging="720"/>
        <w:jc w:val="both"/>
        <w:rPr>
          <w:rFonts w:ascii="Times New Roman" w:eastAsia="Roboto" w:hAnsi="Times New Roman" w:cs="Times New Roman"/>
          <w:color w:val="0D0D0D"/>
          <w:sz w:val="24"/>
          <w:szCs w:val="24"/>
        </w:rPr>
      </w:pPr>
      <w:proofErr w:type="spellStart"/>
      <w:proofErr w:type="gramStart"/>
      <w:r w:rsidRPr="00212DDD">
        <w:rPr>
          <w:rFonts w:ascii="Times New Roman" w:eastAsia="Roboto" w:hAnsi="Times New Roman" w:cs="Times New Roman"/>
          <w:color w:val="0D0D0D"/>
          <w:sz w:val="24"/>
          <w:szCs w:val="24"/>
        </w:rPr>
        <w:t>Murshed</w:t>
      </w:r>
      <w:proofErr w:type="spellEnd"/>
      <w:r w:rsidRPr="00212DDD">
        <w:rPr>
          <w:rFonts w:ascii="Times New Roman" w:eastAsia="Roboto" w:hAnsi="Times New Roman" w:cs="Times New Roman"/>
          <w:color w:val="0D0D0D"/>
          <w:sz w:val="24"/>
          <w:szCs w:val="24"/>
        </w:rPr>
        <w:t xml:space="preserve">, S., </w:t>
      </w:r>
      <w:proofErr w:type="spellStart"/>
      <w:r w:rsidRPr="00212DDD">
        <w:rPr>
          <w:rFonts w:ascii="Times New Roman" w:eastAsia="Roboto" w:hAnsi="Times New Roman" w:cs="Times New Roman"/>
          <w:color w:val="0D0D0D"/>
          <w:sz w:val="24"/>
          <w:szCs w:val="24"/>
        </w:rPr>
        <w:t>Badiuzzaman</w:t>
      </w:r>
      <w:proofErr w:type="spellEnd"/>
      <w:r w:rsidRPr="00212DDD">
        <w:rPr>
          <w:rFonts w:ascii="Times New Roman" w:eastAsia="Roboto" w:hAnsi="Times New Roman" w:cs="Times New Roman"/>
          <w:color w:val="0D0D0D"/>
          <w:sz w:val="24"/>
          <w:szCs w:val="24"/>
        </w:rPr>
        <w:t xml:space="preserve">, M., &amp; </w:t>
      </w:r>
      <w:proofErr w:type="spellStart"/>
      <w:r w:rsidRPr="00212DDD">
        <w:rPr>
          <w:rFonts w:ascii="Times New Roman" w:eastAsia="Roboto" w:hAnsi="Times New Roman" w:cs="Times New Roman"/>
          <w:color w:val="0D0D0D"/>
          <w:sz w:val="24"/>
          <w:szCs w:val="24"/>
        </w:rPr>
        <w:t>Hasan</w:t>
      </w:r>
      <w:proofErr w:type="spellEnd"/>
      <w:r w:rsidRPr="00212DDD">
        <w:rPr>
          <w:rFonts w:ascii="Times New Roman" w:eastAsia="Roboto" w:hAnsi="Times New Roman" w:cs="Times New Roman"/>
          <w:color w:val="0D0D0D"/>
          <w:sz w:val="24"/>
          <w:szCs w:val="24"/>
        </w:rPr>
        <w:t>, R. (2018).</w:t>
      </w:r>
      <w:proofErr w:type="gramEnd"/>
      <w:r w:rsidRPr="00212DDD">
        <w:rPr>
          <w:rFonts w:ascii="Times New Roman" w:eastAsia="Roboto" w:hAnsi="Times New Roman" w:cs="Times New Roman"/>
          <w:color w:val="0D0D0D"/>
          <w:sz w:val="24"/>
          <w:szCs w:val="24"/>
        </w:rPr>
        <w:t xml:space="preserve"> </w:t>
      </w:r>
      <w:proofErr w:type="gramStart"/>
      <w:r w:rsidRPr="00212DDD">
        <w:rPr>
          <w:rFonts w:ascii="Times New Roman" w:eastAsia="Roboto" w:hAnsi="Times New Roman" w:cs="Times New Roman"/>
          <w:color w:val="0D0D0D"/>
          <w:sz w:val="24"/>
          <w:szCs w:val="24"/>
        </w:rPr>
        <w:t>Food Insecurity and Conflict Events in Africa.</w:t>
      </w:r>
      <w:proofErr w:type="gramEnd"/>
      <w:r w:rsidRPr="00212DDD">
        <w:rPr>
          <w:rFonts w:ascii="Times New Roman" w:eastAsia="Roboto" w:hAnsi="Times New Roman" w:cs="Times New Roman"/>
          <w:color w:val="0D0D0D"/>
          <w:sz w:val="24"/>
          <w:szCs w:val="24"/>
        </w:rPr>
        <w:t xml:space="preserve"> </w:t>
      </w:r>
      <w:r w:rsidRPr="00212DDD">
        <w:rPr>
          <w:rFonts w:ascii="Times New Roman" w:eastAsia="Roboto" w:hAnsi="Times New Roman" w:cs="Times New Roman"/>
          <w:i/>
          <w:color w:val="0D0D0D"/>
          <w:sz w:val="24"/>
          <w:szCs w:val="24"/>
        </w:rPr>
        <w:t>Peace Economics, Peace Science and Public Policy</w:t>
      </w:r>
      <w:r w:rsidRPr="00212DDD">
        <w:rPr>
          <w:rFonts w:ascii="Times New Roman" w:eastAsia="Roboto" w:hAnsi="Times New Roman" w:cs="Times New Roman"/>
          <w:color w:val="0D0D0D"/>
          <w:sz w:val="24"/>
          <w:szCs w:val="24"/>
        </w:rPr>
        <w:t>, 10.1515/PEPS-2018-0007</w:t>
      </w:r>
    </w:p>
    <w:p w14:paraId="01C44122" w14:textId="77777777" w:rsidR="00B217CC" w:rsidRPr="00212DDD" w:rsidRDefault="00B217CC" w:rsidP="00B217CC">
      <w:pPr>
        <w:spacing w:line="240" w:lineRule="auto"/>
        <w:ind w:left="720" w:hanging="720"/>
        <w:jc w:val="both"/>
        <w:rPr>
          <w:rFonts w:ascii="Times New Roman" w:hAnsi="Times New Roman" w:cs="Times New Roman"/>
          <w:color w:val="374151"/>
          <w:sz w:val="24"/>
          <w:szCs w:val="24"/>
        </w:rPr>
      </w:pPr>
      <w:proofErr w:type="spellStart"/>
      <w:proofErr w:type="gramStart"/>
      <w:r w:rsidRPr="00212DDD">
        <w:rPr>
          <w:rFonts w:ascii="Times New Roman" w:hAnsi="Times New Roman" w:cs="Times New Roman"/>
          <w:color w:val="374151"/>
          <w:sz w:val="24"/>
          <w:szCs w:val="24"/>
        </w:rPr>
        <w:t>Nitescu</w:t>
      </w:r>
      <w:proofErr w:type="spellEnd"/>
      <w:r w:rsidRPr="00212DDD">
        <w:rPr>
          <w:rFonts w:ascii="Times New Roman" w:hAnsi="Times New Roman" w:cs="Times New Roman"/>
          <w:color w:val="374151"/>
          <w:sz w:val="24"/>
          <w:szCs w:val="24"/>
        </w:rPr>
        <w:t xml:space="preserve">, D., &amp; </w:t>
      </w:r>
      <w:proofErr w:type="spellStart"/>
      <w:r w:rsidRPr="00212DDD">
        <w:rPr>
          <w:rFonts w:ascii="Times New Roman" w:hAnsi="Times New Roman" w:cs="Times New Roman"/>
          <w:color w:val="374151"/>
          <w:sz w:val="24"/>
          <w:szCs w:val="24"/>
        </w:rPr>
        <w:t>Murgu</w:t>
      </w:r>
      <w:proofErr w:type="spellEnd"/>
      <w:r w:rsidRPr="00212DDD">
        <w:rPr>
          <w:rFonts w:ascii="Times New Roman" w:hAnsi="Times New Roman" w:cs="Times New Roman"/>
          <w:color w:val="374151"/>
          <w:sz w:val="24"/>
          <w:szCs w:val="24"/>
        </w:rPr>
        <w:t>, V. (2020).</w:t>
      </w:r>
      <w:proofErr w:type="gramEnd"/>
      <w:r w:rsidRPr="00212DDD">
        <w:rPr>
          <w:rFonts w:ascii="Times New Roman" w:hAnsi="Times New Roman" w:cs="Times New Roman"/>
          <w:color w:val="374151"/>
          <w:sz w:val="24"/>
          <w:szCs w:val="24"/>
        </w:rPr>
        <w:t xml:space="preserve"> </w:t>
      </w:r>
      <w:proofErr w:type="gramStart"/>
      <w:r w:rsidRPr="00212DDD">
        <w:rPr>
          <w:rFonts w:ascii="Times New Roman" w:hAnsi="Times New Roman" w:cs="Times New Roman"/>
          <w:color w:val="374151"/>
          <w:sz w:val="24"/>
          <w:szCs w:val="24"/>
        </w:rPr>
        <w:t xml:space="preserve">The </w:t>
      </w:r>
      <w:proofErr w:type="spellStart"/>
      <w:r w:rsidRPr="00212DDD">
        <w:rPr>
          <w:rFonts w:ascii="Times New Roman" w:hAnsi="Times New Roman" w:cs="Times New Roman"/>
          <w:color w:val="374151"/>
          <w:sz w:val="24"/>
          <w:szCs w:val="24"/>
        </w:rPr>
        <w:t>Bioeconomy</w:t>
      </w:r>
      <w:proofErr w:type="spellEnd"/>
      <w:r w:rsidRPr="00212DDD">
        <w:rPr>
          <w:rFonts w:ascii="Times New Roman" w:hAnsi="Times New Roman" w:cs="Times New Roman"/>
          <w:color w:val="374151"/>
          <w:sz w:val="24"/>
          <w:szCs w:val="24"/>
        </w:rPr>
        <w:t xml:space="preserve"> and Foreign Trade in Food Products—A Sustainable Partnership at the European Level.</w:t>
      </w:r>
      <w:proofErr w:type="gramEnd"/>
      <w:r w:rsidRPr="00212DDD">
        <w:rPr>
          <w:rFonts w:ascii="Times New Roman" w:hAnsi="Times New Roman" w:cs="Times New Roman"/>
          <w:color w:val="374151"/>
          <w:sz w:val="24"/>
          <w:szCs w:val="24"/>
        </w:rPr>
        <w:t xml:space="preserve"> </w:t>
      </w:r>
      <w:proofErr w:type="gramStart"/>
      <w:r w:rsidRPr="00212DDD">
        <w:rPr>
          <w:rFonts w:ascii="Times New Roman" w:hAnsi="Times New Roman" w:cs="Times New Roman"/>
          <w:i/>
          <w:color w:val="374151"/>
          <w:sz w:val="24"/>
          <w:szCs w:val="24"/>
        </w:rPr>
        <w:t>Sustainability</w:t>
      </w:r>
      <w:r w:rsidRPr="00212DDD">
        <w:rPr>
          <w:rFonts w:ascii="Times New Roman" w:hAnsi="Times New Roman" w:cs="Times New Roman"/>
          <w:color w:val="374151"/>
          <w:sz w:val="24"/>
          <w:szCs w:val="24"/>
        </w:rPr>
        <w:t>.</w:t>
      </w:r>
      <w:proofErr w:type="gramEnd"/>
      <w:r w:rsidRPr="00212DDD">
        <w:rPr>
          <w:rFonts w:ascii="Times New Roman" w:hAnsi="Times New Roman" w:cs="Times New Roman"/>
          <w:color w:val="374151"/>
          <w:sz w:val="24"/>
          <w:szCs w:val="24"/>
        </w:rPr>
        <w:t xml:space="preserve"> </w:t>
      </w:r>
      <w:hyperlink r:id="rId12">
        <w:r w:rsidRPr="00212DDD">
          <w:rPr>
            <w:rFonts w:ascii="Times New Roman" w:hAnsi="Times New Roman" w:cs="Times New Roman"/>
            <w:color w:val="1155CC"/>
            <w:sz w:val="24"/>
            <w:szCs w:val="24"/>
            <w:u w:val="single"/>
          </w:rPr>
          <w:t>https://doi.org/10.3390/su12062460</w:t>
        </w:r>
      </w:hyperlink>
      <w:r w:rsidRPr="00212DDD">
        <w:rPr>
          <w:rFonts w:ascii="Times New Roman" w:hAnsi="Times New Roman" w:cs="Times New Roman"/>
          <w:color w:val="374151"/>
          <w:sz w:val="24"/>
          <w:szCs w:val="24"/>
        </w:rPr>
        <w:t>.</w:t>
      </w:r>
    </w:p>
    <w:p w14:paraId="610364DB" w14:textId="77777777" w:rsidR="00B217CC" w:rsidRPr="00212DDD" w:rsidRDefault="00B217CC" w:rsidP="00B217C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720" w:hanging="720"/>
        <w:jc w:val="both"/>
        <w:rPr>
          <w:rFonts w:ascii="Times New Roman" w:eastAsia="Roboto" w:hAnsi="Times New Roman" w:cs="Times New Roman"/>
          <w:color w:val="0D0D0D"/>
          <w:sz w:val="24"/>
          <w:szCs w:val="24"/>
        </w:rPr>
      </w:pPr>
      <w:proofErr w:type="spellStart"/>
      <w:proofErr w:type="gramStart"/>
      <w:r w:rsidRPr="00212DDD">
        <w:rPr>
          <w:rFonts w:ascii="Times New Roman" w:eastAsia="Roboto" w:hAnsi="Times New Roman" w:cs="Times New Roman"/>
          <w:color w:val="0D0D0D"/>
          <w:sz w:val="24"/>
          <w:szCs w:val="24"/>
        </w:rPr>
        <w:t>Ogunniyi</w:t>
      </w:r>
      <w:proofErr w:type="spellEnd"/>
      <w:r w:rsidRPr="00212DDD">
        <w:rPr>
          <w:rFonts w:ascii="Times New Roman" w:eastAsia="Roboto" w:hAnsi="Times New Roman" w:cs="Times New Roman"/>
          <w:color w:val="0D0D0D"/>
          <w:sz w:val="24"/>
          <w:szCs w:val="24"/>
        </w:rPr>
        <w:t xml:space="preserve">, A., </w:t>
      </w:r>
      <w:proofErr w:type="spellStart"/>
      <w:r w:rsidRPr="00212DDD">
        <w:rPr>
          <w:rFonts w:ascii="Times New Roman" w:eastAsia="Roboto" w:hAnsi="Times New Roman" w:cs="Times New Roman"/>
          <w:color w:val="0D0D0D"/>
          <w:sz w:val="24"/>
          <w:szCs w:val="24"/>
        </w:rPr>
        <w:t>Mavrotas</w:t>
      </w:r>
      <w:proofErr w:type="spellEnd"/>
      <w:r w:rsidRPr="00212DDD">
        <w:rPr>
          <w:rFonts w:ascii="Times New Roman" w:eastAsia="Roboto" w:hAnsi="Times New Roman" w:cs="Times New Roman"/>
          <w:color w:val="0D0D0D"/>
          <w:sz w:val="24"/>
          <w:szCs w:val="24"/>
        </w:rPr>
        <w:t xml:space="preserve">, G., </w:t>
      </w:r>
      <w:proofErr w:type="spellStart"/>
      <w:r w:rsidRPr="00212DDD">
        <w:rPr>
          <w:rFonts w:ascii="Times New Roman" w:eastAsia="Roboto" w:hAnsi="Times New Roman" w:cs="Times New Roman"/>
          <w:color w:val="0D0D0D"/>
          <w:sz w:val="24"/>
          <w:szCs w:val="24"/>
        </w:rPr>
        <w:t>Olagunju</w:t>
      </w:r>
      <w:proofErr w:type="spellEnd"/>
      <w:r w:rsidRPr="00212DDD">
        <w:rPr>
          <w:rFonts w:ascii="Times New Roman" w:eastAsia="Roboto" w:hAnsi="Times New Roman" w:cs="Times New Roman"/>
          <w:color w:val="0D0D0D"/>
          <w:sz w:val="24"/>
          <w:szCs w:val="24"/>
        </w:rPr>
        <w:t xml:space="preserve">, K., </w:t>
      </w:r>
      <w:proofErr w:type="spellStart"/>
      <w:r w:rsidRPr="00212DDD">
        <w:rPr>
          <w:rFonts w:ascii="Times New Roman" w:eastAsia="Roboto" w:hAnsi="Times New Roman" w:cs="Times New Roman"/>
          <w:color w:val="0D0D0D"/>
          <w:sz w:val="24"/>
          <w:szCs w:val="24"/>
        </w:rPr>
        <w:t>Fadare</w:t>
      </w:r>
      <w:proofErr w:type="spellEnd"/>
      <w:r w:rsidRPr="00212DDD">
        <w:rPr>
          <w:rFonts w:ascii="Times New Roman" w:eastAsia="Roboto" w:hAnsi="Times New Roman" w:cs="Times New Roman"/>
          <w:color w:val="0D0D0D"/>
          <w:sz w:val="24"/>
          <w:szCs w:val="24"/>
        </w:rPr>
        <w:t xml:space="preserve">, O., &amp; </w:t>
      </w:r>
      <w:proofErr w:type="spellStart"/>
      <w:r w:rsidRPr="00212DDD">
        <w:rPr>
          <w:rFonts w:ascii="Times New Roman" w:eastAsia="Roboto" w:hAnsi="Times New Roman" w:cs="Times New Roman"/>
          <w:color w:val="0D0D0D"/>
          <w:sz w:val="24"/>
          <w:szCs w:val="24"/>
        </w:rPr>
        <w:t>Adedoyin</w:t>
      </w:r>
      <w:proofErr w:type="spellEnd"/>
      <w:r w:rsidRPr="00212DDD">
        <w:rPr>
          <w:rFonts w:ascii="Times New Roman" w:eastAsia="Roboto" w:hAnsi="Times New Roman" w:cs="Times New Roman"/>
          <w:color w:val="0D0D0D"/>
          <w:sz w:val="24"/>
          <w:szCs w:val="24"/>
        </w:rPr>
        <w:t>, R. (2020).</w:t>
      </w:r>
      <w:proofErr w:type="gramEnd"/>
      <w:r w:rsidRPr="00212DDD">
        <w:rPr>
          <w:rFonts w:ascii="Times New Roman" w:eastAsia="Roboto" w:hAnsi="Times New Roman" w:cs="Times New Roman"/>
          <w:color w:val="0D0D0D"/>
          <w:sz w:val="24"/>
          <w:szCs w:val="24"/>
        </w:rPr>
        <w:t xml:space="preserve"> </w:t>
      </w:r>
      <w:proofErr w:type="gramStart"/>
      <w:r w:rsidRPr="00212DDD">
        <w:rPr>
          <w:rFonts w:ascii="Times New Roman" w:eastAsia="Roboto" w:hAnsi="Times New Roman" w:cs="Times New Roman"/>
          <w:color w:val="0D0D0D"/>
          <w:sz w:val="24"/>
          <w:szCs w:val="24"/>
        </w:rPr>
        <w:t>Governance quality, remittances and their implications for food and nutrition security in Sub-Saharan Africa.</w:t>
      </w:r>
      <w:proofErr w:type="gramEnd"/>
      <w:r w:rsidRPr="00212DDD">
        <w:rPr>
          <w:rFonts w:ascii="Times New Roman" w:eastAsia="Roboto" w:hAnsi="Times New Roman" w:cs="Times New Roman"/>
          <w:color w:val="0D0D0D"/>
          <w:sz w:val="24"/>
          <w:szCs w:val="24"/>
        </w:rPr>
        <w:t xml:space="preserve"> </w:t>
      </w:r>
      <w:r w:rsidRPr="00212DDD">
        <w:rPr>
          <w:rFonts w:ascii="Times New Roman" w:eastAsia="Roboto" w:hAnsi="Times New Roman" w:cs="Times New Roman"/>
          <w:i/>
          <w:color w:val="0D0D0D"/>
          <w:sz w:val="24"/>
          <w:szCs w:val="24"/>
        </w:rPr>
        <w:t>World Development</w:t>
      </w:r>
      <w:r w:rsidRPr="00212DDD">
        <w:rPr>
          <w:rFonts w:ascii="Times New Roman" w:eastAsia="Roboto" w:hAnsi="Times New Roman" w:cs="Times New Roman"/>
          <w:color w:val="0D0D0D"/>
          <w:sz w:val="24"/>
          <w:szCs w:val="24"/>
        </w:rPr>
        <w:t>, 10.1016/j.worlddev.2019.104752</w:t>
      </w:r>
    </w:p>
    <w:p w14:paraId="0B7E8A21" w14:textId="77777777" w:rsidR="00B217CC" w:rsidRPr="00212DDD" w:rsidRDefault="00B217CC" w:rsidP="00B217C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720" w:hanging="720"/>
        <w:jc w:val="both"/>
        <w:rPr>
          <w:rFonts w:ascii="Times New Roman" w:eastAsia="Roboto" w:hAnsi="Times New Roman" w:cs="Times New Roman"/>
          <w:color w:val="0D0D0D"/>
          <w:sz w:val="24"/>
          <w:szCs w:val="24"/>
        </w:rPr>
      </w:pPr>
      <w:proofErr w:type="spellStart"/>
      <w:proofErr w:type="gramStart"/>
      <w:r w:rsidRPr="00212DDD">
        <w:rPr>
          <w:rFonts w:ascii="Times New Roman" w:eastAsia="Roboto" w:hAnsi="Times New Roman" w:cs="Times New Roman"/>
          <w:color w:val="0D0D0D"/>
          <w:sz w:val="24"/>
          <w:szCs w:val="24"/>
        </w:rPr>
        <w:t>Pickson</w:t>
      </w:r>
      <w:proofErr w:type="spellEnd"/>
      <w:r w:rsidRPr="00212DDD">
        <w:rPr>
          <w:rFonts w:ascii="Times New Roman" w:eastAsia="Roboto" w:hAnsi="Times New Roman" w:cs="Times New Roman"/>
          <w:color w:val="0D0D0D"/>
          <w:sz w:val="24"/>
          <w:szCs w:val="24"/>
        </w:rPr>
        <w:t xml:space="preserve">, R. B., &amp; </w:t>
      </w:r>
      <w:proofErr w:type="spellStart"/>
      <w:r w:rsidRPr="00212DDD">
        <w:rPr>
          <w:rFonts w:ascii="Times New Roman" w:eastAsia="Roboto" w:hAnsi="Times New Roman" w:cs="Times New Roman"/>
          <w:color w:val="0D0D0D"/>
          <w:sz w:val="24"/>
          <w:szCs w:val="24"/>
        </w:rPr>
        <w:t>Boateng</w:t>
      </w:r>
      <w:proofErr w:type="spellEnd"/>
      <w:r w:rsidRPr="00212DDD">
        <w:rPr>
          <w:rFonts w:ascii="Times New Roman" w:eastAsia="Roboto" w:hAnsi="Times New Roman" w:cs="Times New Roman"/>
          <w:color w:val="0D0D0D"/>
          <w:sz w:val="24"/>
          <w:szCs w:val="24"/>
        </w:rPr>
        <w:t>, E. (2021).</w:t>
      </w:r>
      <w:proofErr w:type="gramEnd"/>
      <w:r w:rsidRPr="00212DDD">
        <w:rPr>
          <w:rFonts w:ascii="Times New Roman" w:eastAsia="Roboto" w:hAnsi="Times New Roman" w:cs="Times New Roman"/>
          <w:color w:val="0D0D0D"/>
          <w:sz w:val="24"/>
          <w:szCs w:val="24"/>
        </w:rPr>
        <w:t xml:space="preserve"> Climate change: a friend or foe to food security in Africa? </w:t>
      </w:r>
      <w:r w:rsidRPr="00212DDD">
        <w:rPr>
          <w:rFonts w:ascii="Times New Roman" w:eastAsia="Roboto" w:hAnsi="Times New Roman" w:cs="Times New Roman"/>
          <w:i/>
          <w:color w:val="0D0D0D"/>
          <w:sz w:val="24"/>
          <w:szCs w:val="24"/>
        </w:rPr>
        <w:t>Environment, Development and Sustainability</w:t>
      </w:r>
      <w:r w:rsidRPr="00212DDD">
        <w:rPr>
          <w:rFonts w:ascii="Times New Roman" w:eastAsia="Roboto" w:hAnsi="Times New Roman" w:cs="Times New Roman"/>
          <w:color w:val="0D0D0D"/>
          <w:sz w:val="24"/>
          <w:szCs w:val="24"/>
        </w:rPr>
        <w:t>, 10.1007/s10668-021-01621-8</w:t>
      </w:r>
    </w:p>
    <w:p w14:paraId="1085C54B" w14:textId="77777777" w:rsidR="00B217CC" w:rsidRPr="00212DDD" w:rsidRDefault="00B217CC" w:rsidP="00B217CC">
      <w:pPr>
        <w:spacing w:line="240" w:lineRule="auto"/>
        <w:ind w:left="720" w:hanging="720"/>
        <w:jc w:val="both"/>
        <w:rPr>
          <w:rFonts w:ascii="Times New Roman" w:hAnsi="Times New Roman" w:cs="Times New Roman"/>
          <w:color w:val="374151"/>
          <w:sz w:val="24"/>
          <w:szCs w:val="24"/>
        </w:rPr>
      </w:pPr>
      <w:r w:rsidRPr="00212DDD">
        <w:rPr>
          <w:rFonts w:ascii="Times New Roman" w:hAnsi="Times New Roman" w:cs="Times New Roman"/>
          <w:color w:val="374151"/>
          <w:sz w:val="24"/>
          <w:szCs w:val="24"/>
        </w:rPr>
        <w:t xml:space="preserve">Shirley, R. (2021). Energy for food, livelihoods, and resilience: An integrated development agenda for Africa. </w:t>
      </w:r>
      <w:proofErr w:type="gramStart"/>
      <w:r w:rsidRPr="00212DDD">
        <w:rPr>
          <w:rFonts w:ascii="Times New Roman" w:hAnsi="Times New Roman" w:cs="Times New Roman"/>
          <w:i/>
          <w:color w:val="374151"/>
          <w:sz w:val="24"/>
          <w:szCs w:val="24"/>
        </w:rPr>
        <w:t>One Earth</w:t>
      </w:r>
      <w:r w:rsidRPr="00212DDD">
        <w:rPr>
          <w:rFonts w:ascii="Times New Roman" w:hAnsi="Times New Roman" w:cs="Times New Roman"/>
          <w:color w:val="374151"/>
          <w:sz w:val="24"/>
          <w:szCs w:val="24"/>
        </w:rPr>
        <w:t>.</w:t>
      </w:r>
      <w:proofErr w:type="gramEnd"/>
      <w:r w:rsidRPr="00212DDD">
        <w:rPr>
          <w:rFonts w:ascii="Times New Roman" w:hAnsi="Times New Roman" w:cs="Times New Roman"/>
          <w:color w:val="374151"/>
          <w:sz w:val="24"/>
          <w:szCs w:val="24"/>
        </w:rPr>
        <w:t xml:space="preserve"> </w:t>
      </w:r>
      <w:hyperlink r:id="rId13">
        <w:r w:rsidRPr="00212DDD">
          <w:rPr>
            <w:rFonts w:ascii="Times New Roman" w:hAnsi="Times New Roman" w:cs="Times New Roman"/>
            <w:color w:val="1155CC"/>
            <w:sz w:val="24"/>
            <w:szCs w:val="24"/>
            <w:u w:val="single"/>
          </w:rPr>
          <w:t>https://doi.org/10.1016/J.ONEEAR.2021.04.002</w:t>
        </w:r>
      </w:hyperlink>
      <w:r w:rsidRPr="00212DDD">
        <w:rPr>
          <w:rFonts w:ascii="Times New Roman" w:hAnsi="Times New Roman" w:cs="Times New Roman"/>
          <w:color w:val="374151"/>
          <w:sz w:val="24"/>
          <w:szCs w:val="24"/>
        </w:rPr>
        <w:t>.</w:t>
      </w:r>
    </w:p>
    <w:p w14:paraId="76EE95A6" w14:textId="77777777" w:rsidR="00B217CC" w:rsidRPr="00212DDD" w:rsidRDefault="00B217CC" w:rsidP="00B217C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720" w:hanging="720"/>
        <w:jc w:val="both"/>
        <w:rPr>
          <w:rFonts w:ascii="Times New Roman" w:eastAsia="Roboto" w:hAnsi="Times New Roman" w:cs="Times New Roman"/>
          <w:color w:val="0D0D0D"/>
          <w:sz w:val="24"/>
          <w:szCs w:val="24"/>
        </w:rPr>
      </w:pPr>
      <w:proofErr w:type="gramStart"/>
      <w:r w:rsidRPr="00212DDD">
        <w:rPr>
          <w:rFonts w:ascii="Times New Roman" w:eastAsia="Roboto" w:hAnsi="Times New Roman" w:cs="Times New Roman"/>
          <w:color w:val="0D0D0D"/>
          <w:sz w:val="24"/>
          <w:szCs w:val="24"/>
        </w:rPr>
        <w:t>van</w:t>
      </w:r>
      <w:proofErr w:type="gramEnd"/>
      <w:r w:rsidRPr="00212DDD">
        <w:rPr>
          <w:rFonts w:ascii="Times New Roman" w:eastAsia="Roboto" w:hAnsi="Times New Roman" w:cs="Times New Roman"/>
          <w:color w:val="0D0D0D"/>
          <w:sz w:val="24"/>
          <w:szCs w:val="24"/>
        </w:rPr>
        <w:t xml:space="preserve"> </w:t>
      </w:r>
      <w:proofErr w:type="spellStart"/>
      <w:r w:rsidRPr="00212DDD">
        <w:rPr>
          <w:rFonts w:ascii="Times New Roman" w:eastAsia="Roboto" w:hAnsi="Times New Roman" w:cs="Times New Roman"/>
          <w:color w:val="0D0D0D"/>
          <w:sz w:val="24"/>
          <w:szCs w:val="24"/>
        </w:rPr>
        <w:t>Dijk</w:t>
      </w:r>
      <w:proofErr w:type="spellEnd"/>
      <w:r w:rsidRPr="00212DDD">
        <w:rPr>
          <w:rFonts w:ascii="Times New Roman" w:eastAsia="Roboto" w:hAnsi="Times New Roman" w:cs="Times New Roman"/>
          <w:color w:val="0D0D0D"/>
          <w:sz w:val="24"/>
          <w:szCs w:val="24"/>
        </w:rPr>
        <w:t xml:space="preserve">, M., Morley, T., Rau, M., &amp; </w:t>
      </w:r>
      <w:proofErr w:type="spellStart"/>
      <w:r w:rsidRPr="00212DDD">
        <w:rPr>
          <w:rFonts w:ascii="Times New Roman" w:eastAsia="Roboto" w:hAnsi="Times New Roman" w:cs="Times New Roman"/>
          <w:color w:val="0D0D0D"/>
          <w:sz w:val="24"/>
          <w:szCs w:val="24"/>
        </w:rPr>
        <w:t>Saghai</w:t>
      </w:r>
      <w:proofErr w:type="spellEnd"/>
      <w:r w:rsidRPr="00212DDD">
        <w:rPr>
          <w:rFonts w:ascii="Times New Roman" w:eastAsia="Roboto" w:hAnsi="Times New Roman" w:cs="Times New Roman"/>
          <w:color w:val="0D0D0D"/>
          <w:sz w:val="24"/>
          <w:szCs w:val="24"/>
        </w:rPr>
        <w:t xml:space="preserve">, Y. (2021). </w:t>
      </w:r>
      <w:proofErr w:type="gramStart"/>
      <w:r w:rsidRPr="00212DDD">
        <w:rPr>
          <w:rFonts w:ascii="Times New Roman" w:eastAsia="Roboto" w:hAnsi="Times New Roman" w:cs="Times New Roman"/>
          <w:color w:val="0D0D0D"/>
          <w:sz w:val="24"/>
          <w:szCs w:val="24"/>
        </w:rPr>
        <w:t>A meta-analysis of projected global food demand and population at risk of hunger for the period 2010–2050.</w:t>
      </w:r>
      <w:proofErr w:type="gramEnd"/>
      <w:r w:rsidRPr="00212DDD">
        <w:rPr>
          <w:rFonts w:ascii="Times New Roman" w:eastAsia="Roboto" w:hAnsi="Times New Roman" w:cs="Times New Roman"/>
          <w:color w:val="0D0D0D"/>
          <w:sz w:val="24"/>
          <w:szCs w:val="24"/>
        </w:rPr>
        <w:t xml:space="preserve"> </w:t>
      </w:r>
      <w:r w:rsidRPr="00212DDD">
        <w:rPr>
          <w:rFonts w:ascii="Times New Roman" w:eastAsia="Roboto" w:hAnsi="Times New Roman" w:cs="Times New Roman"/>
          <w:i/>
          <w:color w:val="0D0D0D"/>
          <w:sz w:val="24"/>
          <w:szCs w:val="24"/>
        </w:rPr>
        <w:t>Nature Food</w:t>
      </w:r>
      <w:r w:rsidRPr="00212DDD">
        <w:rPr>
          <w:rFonts w:ascii="Times New Roman" w:eastAsia="Roboto" w:hAnsi="Times New Roman" w:cs="Times New Roman"/>
          <w:color w:val="0D0D0D"/>
          <w:sz w:val="24"/>
          <w:szCs w:val="24"/>
        </w:rPr>
        <w:t>, 10.1038/s43016-021-00322-9</w:t>
      </w:r>
    </w:p>
    <w:p w14:paraId="39F0057B" w14:textId="77777777" w:rsidR="00B217CC" w:rsidRPr="00212DDD" w:rsidRDefault="00B217CC" w:rsidP="00B217C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ind w:left="720" w:hanging="720"/>
        <w:jc w:val="both"/>
        <w:rPr>
          <w:rFonts w:ascii="Times New Roman" w:eastAsia="Roboto" w:hAnsi="Times New Roman" w:cs="Times New Roman"/>
          <w:color w:val="0D0D0D"/>
          <w:sz w:val="24"/>
          <w:szCs w:val="24"/>
        </w:rPr>
      </w:pPr>
      <w:proofErr w:type="spellStart"/>
      <w:proofErr w:type="gramStart"/>
      <w:r w:rsidRPr="00212DDD">
        <w:rPr>
          <w:rFonts w:ascii="Times New Roman" w:eastAsia="Roboto" w:hAnsi="Times New Roman" w:cs="Times New Roman"/>
          <w:color w:val="0D0D0D"/>
          <w:sz w:val="24"/>
          <w:szCs w:val="24"/>
        </w:rPr>
        <w:t>Wegerif</w:t>
      </w:r>
      <w:proofErr w:type="spellEnd"/>
      <w:r w:rsidRPr="00212DDD">
        <w:rPr>
          <w:rFonts w:ascii="Times New Roman" w:eastAsia="Roboto" w:hAnsi="Times New Roman" w:cs="Times New Roman"/>
          <w:color w:val="0D0D0D"/>
          <w:sz w:val="24"/>
          <w:szCs w:val="24"/>
        </w:rPr>
        <w:t>, M. (2020).</w:t>
      </w:r>
      <w:proofErr w:type="gramEnd"/>
      <w:r w:rsidRPr="00212DDD">
        <w:rPr>
          <w:rFonts w:ascii="Times New Roman" w:eastAsia="Roboto" w:hAnsi="Times New Roman" w:cs="Times New Roman"/>
          <w:color w:val="0D0D0D"/>
          <w:sz w:val="24"/>
          <w:szCs w:val="24"/>
        </w:rPr>
        <w:t xml:space="preserve"> “Informal” food traders and food security: experiences from the Covid-19 response in South Africa. </w:t>
      </w:r>
      <w:r w:rsidRPr="00212DDD">
        <w:rPr>
          <w:rFonts w:ascii="Times New Roman" w:eastAsia="Roboto" w:hAnsi="Times New Roman" w:cs="Times New Roman"/>
          <w:i/>
          <w:color w:val="0D0D0D"/>
          <w:sz w:val="24"/>
          <w:szCs w:val="24"/>
        </w:rPr>
        <w:t>Food Security</w:t>
      </w:r>
      <w:r w:rsidRPr="00212DDD">
        <w:rPr>
          <w:rFonts w:ascii="Times New Roman" w:eastAsia="Roboto" w:hAnsi="Times New Roman" w:cs="Times New Roman"/>
          <w:color w:val="0D0D0D"/>
          <w:sz w:val="24"/>
          <w:szCs w:val="24"/>
        </w:rPr>
        <w:t>, 10.1007/s12571-020-01078-z</w:t>
      </w:r>
    </w:p>
    <w:p w14:paraId="480F030B" w14:textId="77777777" w:rsidR="00B217CC" w:rsidRPr="00212DDD" w:rsidRDefault="00B217CC" w:rsidP="00B217C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ind w:left="720" w:hanging="720"/>
        <w:jc w:val="both"/>
        <w:rPr>
          <w:rFonts w:ascii="Times New Roman" w:eastAsia="Roboto" w:hAnsi="Times New Roman" w:cs="Times New Roman"/>
          <w:color w:val="0D0D0D"/>
          <w:sz w:val="24"/>
          <w:szCs w:val="24"/>
        </w:rPr>
      </w:pPr>
      <w:proofErr w:type="spellStart"/>
      <w:proofErr w:type="gramStart"/>
      <w:r w:rsidRPr="00212DDD">
        <w:rPr>
          <w:rFonts w:ascii="Times New Roman" w:eastAsia="Roboto" w:hAnsi="Times New Roman" w:cs="Times New Roman"/>
          <w:color w:val="0D0D0D"/>
          <w:sz w:val="24"/>
          <w:szCs w:val="24"/>
        </w:rPr>
        <w:t>Zakari</w:t>
      </w:r>
      <w:proofErr w:type="spellEnd"/>
      <w:r w:rsidRPr="00212DDD">
        <w:rPr>
          <w:rFonts w:ascii="Times New Roman" w:eastAsia="Roboto" w:hAnsi="Times New Roman" w:cs="Times New Roman"/>
          <w:color w:val="0D0D0D"/>
          <w:sz w:val="24"/>
          <w:szCs w:val="24"/>
        </w:rPr>
        <w:t xml:space="preserve">, A., </w:t>
      </w:r>
      <w:proofErr w:type="spellStart"/>
      <w:r w:rsidRPr="00212DDD">
        <w:rPr>
          <w:rFonts w:ascii="Times New Roman" w:eastAsia="Roboto" w:hAnsi="Times New Roman" w:cs="Times New Roman"/>
          <w:color w:val="0D0D0D"/>
          <w:sz w:val="24"/>
          <w:szCs w:val="24"/>
        </w:rPr>
        <w:t>Toplak</w:t>
      </w:r>
      <w:proofErr w:type="spellEnd"/>
      <w:r w:rsidRPr="00212DDD">
        <w:rPr>
          <w:rFonts w:ascii="Times New Roman" w:eastAsia="Roboto" w:hAnsi="Times New Roman" w:cs="Times New Roman"/>
          <w:color w:val="0D0D0D"/>
          <w:sz w:val="24"/>
          <w:szCs w:val="24"/>
        </w:rPr>
        <w:t xml:space="preserve">, J., &amp; </w:t>
      </w:r>
      <w:proofErr w:type="spellStart"/>
      <w:r w:rsidRPr="00212DDD">
        <w:rPr>
          <w:rFonts w:ascii="Times New Roman" w:eastAsia="Roboto" w:hAnsi="Times New Roman" w:cs="Times New Roman"/>
          <w:color w:val="0D0D0D"/>
          <w:sz w:val="24"/>
          <w:szCs w:val="24"/>
        </w:rPr>
        <w:t>Tomažič</w:t>
      </w:r>
      <w:proofErr w:type="spellEnd"/>
      <w:r w:rsidRPr="00212DDD">
        <w:rPr>
          <w:rFonts w:ascii="Times New Roman" w:eastAsia="Roboto" w:hAnsi="Times New Roman" w:cs="Times New Roman"/>
          <w:color w:val="0D0D0D"/>
          <w:sz w:val="24"/>
          <w:szCs w:val="24"/>
        </w:rPr>
        <w:t>, L. M. (2022).</w:t>
      </w:r>
      <w:proofErr w:type="gramEnd"/>
      <w:r w:rsidRPr="00212DDD">
        <w:rPr>
          <w:rFonts w:ascii="Times New Roman" w:eastAsia="Roboto" w:hAnsi="Times New Roman" w:cs="Times New Roman"/>
          <w:color w:val="0D0D0D"/>
          <w:sz w:val="24"/>
          <w:szCs w:val="24"/>
        </w:rPr>
        <w:t xml:space="preserve"> </w:t>
      </w:r>
      <w:proofErr w:type="gramStart"/>
      <w:r w:rsidRPr="00212DDD">
        <w:rPr>
          <w:rFonts w:ascii="Times New Roman" w:eastAsia="Roboto" w:hAnsi="Times New Roman" w:cs="Times New Roman"/>
          <w:color w:val="0D0D0D"/>
          <w:sz w:val="24"/>
          <w:szCs w:val="24"/>
        </w:rPr>
        <w:t>Exploring the Relationship between Energy and Food Security in Africa with Instrumental Variables Analysis.</w:t>
      </w:r>
      <w:proofErr w:type="gramEnd"/>
      <w:r w:rsidRPr="00212DDD">
        <w:rPr>
          <w:rFonts w:ascii="Times New Roman" w:eastAsia="Roboto" w:hAnsi="Times New Roman" w:cs="Times New Roman"/>
          <w:color w:val="0D0D0D"/>
          <w:sz w:val="24"/>
          <w:szCs w:val="24"/>
        </w:rPr>
        <w:t xml:space="preserve"> </w:t>
      </w:r>
      <w:proofErr w:type="gramStart"/>
      <w:r w:rsidRPr="00212DDD">
        <w:rPr>
          <w:rFonts w:ascii="Times New Roman" w:eastAsia="Roboto" w:hAnsi="Times New Roman" w:cs="Times New Roman"/>
          <w:color w:val="0D0D0D"/>
          <w:sz w:val="24"/>
          <w:szCs w:val="24"/>
        </w:rPr>
        <w:t>Energies, 15(15), 5473.</w:t>
      </w:r>
      <w:proofErr w:type="gramEnd"/>
      <w:r w:rsidRPr="00212DDD">
        <w:rPr>
          <w:rFonts w:ascii="Times New Roman" w:eastAsia="Roboto" w:hAnsi="Times New Roman" w:cs="Times New Roman"/>
          <w:color w:val="0D0D0D"/>
          <w:sz w:val="24"/>
          <w:szCs w:val="24"/>
        </w:rPr>
        <w:t xml:space="preserve"> </w:t>
      </w:r>
      <w:hyperlink r:id="rId14">
        <w:r w:rsidRPr="00212DDD">
          <w:rPr>
            <w:rFonts w:ascii="Times New Roman" w:eastAsia="Roboto" w:hAnsi="Times New Roman" w:cs="Times New Roman"/>
            <w:color w:val="1155CC"/>
            <w:sz w:val="24"/>
            <w:szCs w:val="24"/>
            <w:u w:val="single"/>
          </w:rPr>
          <w:t>https://doi.org/10.3390/en15155473</w:t>
        </w:r>
      </w:hyperlink>
    </w:p>
    <w:p w14:paraId="00000097" w14:textId="77777777" w:rsidR="00BA7DAA" w:rsidRPr="00212DDD" w:rsidRDefault="00BA7DAA" w:rsidP="00212DD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jc w:val="both"/>
        <w:rPr>
          <w:rFonts w:ascii="Times New Roman" w:eastAsia="Roboto" w:hAnsi="Times New Roman" w:cs="Times New Roman"/>
          <w:color w:val="0D0D0D"/>
          <w:sz w:val="24"/>
          <w:szCs w:val="24"/>
        </w:rPr>
      </w:pPr>
    </w:p>
    <w:p w14:paraId="00000098" w14:textId="77777777" w:rsidR="00BA7DAA" w:rsidRPr="00212DDD" w:rsidRDefault="00BA7DAA" w:rsidP="00212DD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p>
    <w:p w14:paraId="00000099" w14:textId="77777777" w:rsidR="00BA7DAA" w:rsidRPr="00212DDD" w:rsidRDefault="00BA7DAA" w:rsidP="00212DDD">
      <w:pPr>
        <w:jc w:val="both"/>
        <w:rPr>
          <w:rFonts w:ascii="Times New Roman" w:hAnsi="Times New Roman" w:cs="Times New Roman"/>
          <w:color w:val="374151"/>
          <w:sz w:val="24"/>
          <w:szCs w:val="24"/>
        </w:rPr>
      </w:pPr>
    </w:p>
    <w:sectPr w:rsidR="00BA7DAA" w:rsidRPr="00212D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21183"/>
    <w:multiLevelType w:val="multilevel"/>
    <w:tmpl w:val="295C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435FE0"/>
    <w:multiLevelType w:val="multilevel"/>
    <w:tmpl w:val="A8AC5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E140A38"/>
    <w:multiLevelType w:val="hybridMultilevel"/>
    <w:tmpl w:val="4F2CD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4933396"/>
    <w:multiLevelType w:val="hybridMultilevel"/>
    <w:tmpl w:val="6F742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5005D81"/>
    <w:multiLevelType w:val="hybridMultilevel"/>
    <w:tmpl w:val="CEE0F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5761428"/>
    <w:multiLevelType w:val="multilevel"/>
    <w:tmpl w:val="C91E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8041E56"/>
    <w:multiLevelType w:val="hybridMultilevel"/>
    <w:tmpl w:val="EA6CB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ED666BC"/>
    <w:multiLevelType w:val="hybridMultilevel"/>
    <w:tmpl w:val="24B80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690389E"/>
    <w:multiLevelType w:val="hybridMultilevel"/>
    <w:tmpl w:val="96EC7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B856403"/>
    <w:multiLevelType w:val="multilevel"/>
    <w:tmpl w:val="4550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9"/>
  </w:num>
  <w:num w:numId="3">
    <w:abstractNumId w:val="0"/>
  </w:num>
  <w:num w:numId="4">
    <w:abstractNumId w:val="5"/>
  </w:num>
  <w:num w:numId="5">
    <w:abstractNumId w:val="7"/>
  </w:num>
  <w:num w:numId="6">
    <w:abstractNumId w:val="2"/>
  </w:num>
  <w:num w:numId="7">
    <w:abstractNumId w:val="4"/>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compatSetting w:name="compatibilityMode" w:uri="http://schemas.microsoft.com/office/word" w:val="14"/>
  </w:compat>
  <w:docVars>
    <w:docVar w:name="__Grammarly_42____i" w:val="H4sIAAAAAAAEAKtWckksSQxILCpxzi/NK1GyMqwFAAEhoTITAAAA"/>
    <w:docVar w:name="__Grammarly_42___1" w:val="H4sIAAAAAAAEAKtWcslP9kxRslIyNDY2NQISxsaWxqbGphYWBko6SsGpxcWZ+XkgBUa1AOg82mksAAAA"/>
  </w:docVars>
  <w:rsids>
    <w:rsidRoot w:val="00BA7DAA"/>
    <w:rsid w:val="00032A23"/>
    <w:rsid w:val="00036867"/>
    <w:rsid w:val="000E675B"/>
    <w:rsid w:val="001D26FB"/>
    <w:rsid w:val="001D4ACF"/>
    <w:rsid w:val="00212DDD"/>
    <w:rsid w:val="0022436F"/>
    <w:rsid w:val="00297985"/>
    <w:rsid w:val="002D17E7"/>
    <w:rsid w:val="002D7A85"/>
    <w:rsid w:val="002F28A6"/>
    <w:rsid w:val="00347370"/>
    <w:rsid w:val="003604C7"/>
    <w:rsid w:val="003A25CE"/>
    <w:rsid w:val="00433737"/>
    <w:rsid w:val="004820E4"/>
    <w:rsid w:val="00520358"/>
    <w:rsid w:val="006C4730"/>
    <w:rsid w:val="007044CA"/>
    <w:rsid w:val="00704656"/>
    <w:rsid w:val="00745CE4"/>
    <w:rsid w:val="00757056"/>
    <w:rsid w:val="007A20E2"/>
    <w:rsid w:val="007A697E"/>
    <w:rsid w:val="007E019F"/>
    <w:rsid w:val="00801C06"/>
    <w:rsid w:val="00820D84"/>
    <w:rsid w:val="00824485"/>
    <w:rsid w:val="008C6274"/>
    <w:rsid w:val="008E4E0A"/>
    <w:rsid w:val="008F34E4"/>
    <w:rsid w:val="009209FD"/>
    <w:rsid w:val="00984F82"/>
    <w:rsid w:val="009C70A1"/>
    <w:rsid w:val="009E1B63"/>
    <w:rsid w:val="00A30EA0"/>
    <w:rsid w:val="00A4250A"/>
    <w:rsid w:val="00A42B43"/>
    <w:rsid w:val="00B217CC"/>
    <w:rsid w:val="00B75AF0"/>
    <w:rsid w:val="00BA7DAA"/>
    <w:rsid w:val="00BD10F2"/>
    <w:rsid w:val="00BF660C"/>
    <w:rsid w:val="00C40801"/>
    <w:rsid w:val="00C44FDF"/>
    <w:rsid w:val="00C821E4"/>
    <w:rsid w:val="00C962D6"/>
    <w:rsid w:val="00CD4C0A"/>
    <w:rsid w:val="00D04125"/>
    <w:rsid w:val="00D16039"/>
    <w:rsid w:val="00EA52C7"/>
    <w:rsid w:val="00EA7DFD"/>
    <w:rsid w:val="00EB6C66"/>
    <w:rsid w:val="00EE4FD5"/>
    <w:rsid w:val="00F50104"/>
    <w:rsid w:val="00F97891"/>
    <w:rsid w:val="00FB0A52"/>
    <w:rsid w:val="00FE03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209FD"/>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203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358"/>
    <w:rPr>
      <w:rFonts w:ascii="Tahoma" w:hAnsi="Tahoma" w:cs="Tahoma"/>
      <w:sz w:val="16"/>
      <w:szCs w:val="16"/>
    </w:rPr>
  </w:style>
  <w:style w:type="character" w:styleId="PlaceholderText">
    <w:name w:val="Placeholder Text"/>
    <w:basedOn w:val="DefaultParagraphFont"/>
    <w:uiPriority w:val="99"/>
    <w:semiHidden/>
    <w:rsid w:val="00520358"/>
    <w:rPr>
      <w:color w:val="808080"/>
    </w:rPr>
  </w:style>
  <w:style w:type="character" w:customStyle="1" w:styleId="mord">
    <w:name w:val="mord"/>
    <w:basedOn w:val="DefaultParagraphFont"/>
    <w:rsid w:val="002D17E7"/>
  </w:style>
  <w:style w:type="character" w:customStyle="1" w:styleId="vlist-s">
    <w:name w:val="vlist-s"/>
    <w:basedOn w:val="DefaultParagraphFont"/>
    <w:rsid w:val="002D17E7"/>
  </w:style>
  <w:style w:type="character" w:customStyle="1" w:styleId="katex-mathml">
    <w:name w:val="katex-mathml"/>
    <w:basedOn w:val="DefaultParagraphFont"/>
    <w:rsid w:val="002D17E7"/>
  </w:style>
  <w:style w:type="paragraph" w:styleId="NormalWeb">
    <w:name w:val="Normal (Web)"/>
    <w:basedOn w:val="Normal"/>
    <w:uiPriority w:val="99"/>
    <w:semiHidden/>
    <w:unhideWhenUsed/>
    <w:rsid w:val="003473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rel">
    <w:name w:val="mrel"/>
    <w:basedOn w:val="DefaultParagraphFont"/>
    <w:rsid w:val="00347370"/>
  </w:style>
  <w:style w:type="character" w:customStyle="1" w:styleId="mbin">
    <w:name w:val="mbin"/>
    <w:basedOn w:val="DefaultParagraphFont"/>
    <w:rsid w:val="00347370"/>
  </w:style>
  <w:style w:type="character" w:customStyle="1" w:styleId="mpunct">
    <w:name w:val="mpunct"/>
    <w:basedOn w:val="DefaultParagraphFont"/>
    <w:rsid w:val="00C821E4"/>
  </w:style>
  <w:style w:type="character" w:customStyle="1" w:styleId="minner">
    <w:name w:val="minner"/>
    <w:basedOn w:val="DefaultParagraphFont"/>
    <w:rsid w:val="00C821E4"/>
  </w:style>
  <w:style w:type="character" w:customStyle="1" w:styleId="mopen">
    <w:name w:val="mopen"/>
    <w:basedOn w:val="DefaultParagraphFont"/>
    <w:rsid w:val="008F34E4"/>
  </w:style>
  <w:style w:type="character" w:customStyle="1" w:styleId="mclose">
    <w:name w:val="mclose"/>
    <w:basedOn w:val="DefaultParagraphFont"/>
    <w:rsid w:val="008F34E4"/>
  </w:style>
  <w:style w:type="paragraph" w:styleId="z-TopofForm">
    <w:name w:val="HTML Top of Form"/>
    <w:basedOn w:val="Normal"/>
    <w:next w:val="Normal"/>
    <w:link w:val="z-TopofFormChar"/>
    <w:hidden/>
    <w:uiPriority w:val="99"/>
    <w:semiHidden/>
    <w:unhideWhenUsed/>
    <w:rsid w:val="008F34E4"/>
    <w:pPr>
      <w:pBdr>
        <w:bottom w:val="single" w:sz="6" w:space="1" w:color="auto"/>
      </w:pBdr>
      <w:spacing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semiHidden/>
    <w:rsid w:val="008F34E4"/>
    <w:rPr>
      <w:rFonts w:eastAsia="Times New Roman"/>
      <w:vanish/>
      <w:sz w:val="16"/>
      <w:szCs w:val="16"/>
      <w:lang w:val="en-GB"/>
    </w:rPr>
  </w:style>
  <w:style w:type="table" w:styleId="TableGrid">
    <w:name w:val="Table Grid"/>
    <w:basedOn w:val="TableNormal"/>
    <w:uiPriority w:val="59"/>
    <w:rsid w:val="00EA7DF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2A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209FD"/>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203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358"/>
    <w:rPr>
      <w:rFonts w:ascii="Tahoma" w:hAnsi="Tahoma" w:cs="Tahoma"/>
      <w:sz w:val="16"/>
      <w:szCs w:val="16"/>
    </w:rPr>
  </w:style>
  <w:style w:type="character" w:styleId="PlaceholderText">
    <w:name w:val="Placeholder Text"/>
    <w:basedOn w:val="DefaultParagraphFont"/>
    <w:uiPriority w:val="99"/>
    <w:semiHidden/>
    <w:rsid w:val="00520358"/>
    <w:rPr>
      <w:color w:val="808080"/>
    </w:rPr>
  </w:style>
  <w:style w:type="character" w:customStyle="1" w:styleId="mord">
    <w:name w:val="mord"/>
    <w:basedOn w:val="DefaultParagraphFont"/>
    <w:rsid w:val="002D17E7"/>
  </w:style>
  <w:style w:type="character" w:customStyle="1" w:styleId="vlist-s">
    <w:name w:val="vlist-s"/>
    <w:basedOn w:val="DefaultParagraphFont"/>
    <w:rsid w:val="002D17E7"/>
  </w:style>
  <w:style w:type="character" w:customStyle="1" w:styleId="katex-mathml">
    <w:name w:val="katex-mathml"/>
    <w:basedOn w:val="DefaultParagraphFont"/>
    <w:rsid w:val="002D17E7"/>
  </w:style>
  <w:style w:type="paragraph" w:styleId="NormalWeb">
    <w:name w:val="Normal (Web)"/>
    <w:basedOn w:val="Normal"/>
    <w:uiPriority w:val="99"/>
    <w:semiHidden/>
    <w:unhideWhenUsed/>
    <w:rsid w:val="003473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rel">
    <w:name w:val="mrel"/>
    <w:basedOn w:val="DefaultParagraphFont"/>
    <w:rsid w:val="00347370"/>
  </w:style>
  <w:style w:type="character" w:customStyle="1" w:styleId="mbin">
    <w:name w:val="mbin"/>
    <w:basedOn w:val="DefaultParagraphFont"/>
    <w:rsid w:val="00347370"/>
  </w:style>
  <w:style w:type="character" w:customStyle="1" w:styleId="mpunct">
    <w:name w:val="mpunct"/>
    <w:basedOn w:val="DefaultParagraphFont"/>
    <w:rsid w:val="00C821E4"/>
  </w:style>
  <w:style w:type="character" w:customStyle="1" w:styleId="minner">
    <w:name w:val="minner"/>
    <w:basedOn w:val="DefaultParagraphFont"/>
    <w:rsid w:val="00C821E4"/>
  </w:style>
  <w:style w:type="character" w:customStyle="1" w:styleId="mopen">
    <w:name w:val="mopen"/>
    <w:basedOn w:val="DefaultParagraphFont"/>
    <w:rsid w:val="008F34E4"/>
  </w:style>
  <w:style w:type="character" w:customStyle="1" w:styleId="mclose">
    <w:name w:val="mclose"/>
    <w:basedOn w:val="DefaultParagraphFont"/>
    <w:rsid w:val="008F34E4"/>
  </w:style>
  <w:style w:type="paragraph" w:styleId="z-TopofForm">
    <w:name w:val="HTML Top of Form"/>
    <w:basedOn w:val="Normal"/>
    <w:next w:val="Normal"/>
    <w:link w:val="z-TopofFormChar"/>
    <w:hidden/>
    <w:uiPriority w:val="99"/>
    <w:semiHidden/>
    <w:unhideWhenUsed/>
    <w:rsid w:val="008F34E4"/>
    <w:pPr>
      <w:pBdr>
        <w:bottom w:val="single" w:sz="6" w:space="1" w:color="auto"/>
      </w:pBdr>
      <w:spacing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semiHidden/>
    <w:rsid w:val="008F34E4"/>
    <w:rPr>
      <w:rFonts w:eastAsia="Times New Roman"/>
      <w:vanish/>
      <w:sz w:val="16"/>
      <w:szCs w:val="16"/>
      <w:lang w:val="en-GB"/>
    </w:rPr>
  </w:style>
  <w:style w:type="table" w:styleId="TableGrid">
    <w:name w:val="Table Grid"/>
    <w:basedOn w:val="TableNormal"/>
    <w:uiPriority w:val="59"/>
    <w:rsid w:val="00EA7DF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2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3895">
      <w:bodyDiv w:val="1"/>
      <w:marLeft w:val="0"/>
      <w:marRight w:val="0"/>
      <w:marTop w:val="0"/>
      <w:marBottom w:val="0"/>
      <w:divBdr>
        <w:top w:val="none" w:sz="0" w:space="0" w:color="auto"/>
        <w:left w:val="none" w:sz="0" w:space="0" w:color="auto"/>
        <w:bottom w:val="none" w:sz="0" w:space="0" w:color="auto"/>
        <w:right w:val="none" w:sz="0" w:space="0" w:color="auto"/>
      </w:divBdr>
      <w:divsChild>
        <w:div w:id="1924337386">
          <w:marLeft w:val="0"/>
          <w:marRight w:val="0"/>
          <w:marTop w:val="0"/>
          <w:marBottom w:val="0"/>
          <w:divBdr>
            <w:top w:val="single" w:sz="2" w:space="0" w:color="E3E3E3"/>
            <w:left w:val="single" w:sz="2" w:space="0" w:color="E3E3E3"/>
            <w:bottom w:val="single" w:sz="2" w:space="0" w:color="E3E3E3"/>
            <w:right w:val="single" w:sz="2" w:space="0" w:color="E3E3E3"/>
          </w:divBdr>
          <w:divsChild>
            <w:div w:id="1584296781">
              <w:marLeft w:val="0"/>
              <w:marRight w:val="0"/>
              <w:marTop w:val="0"/>
              <w:marBottom w:val="0"/>
              <w:divBdr>
                <w:top w:val="single" w:sz="2" w:space="0" w:color="E3E3E3"/>
                <w:left w:val="single" w:sz="2" w:space="0" w:color="E3E3E3"/>
                <w:bottom w:val="single" w:sz="2" w:space="0" w:color="E3E3E3"/>
                <w:right w:val="single" w:sz="2" w:space="0" w:color="E3E3E3"/>
              </w:divBdr>
              <w:divsChild>
                <w:div w:id="1348286877">
                  <w:marLeft w:val="0"/>
                  <w:marRight w:val="0"/>
                  <w:marTop w:val="0"/>
                  <w:marBottom w:val="0"/>
                  <w:divBdr>
                    <w:top w:val="single" w:sz="2" w:space="0" w:color="E3E3E3"/>
                    <w:left w:val="single" w:sz="2" w:space="0" w:color="E3E3E3"/>
                    <w:bottom w:val="single" w:sz="2" w:space="0" w:color="E3E3E3"/>
                    <w:right w:val="single" w:sz="2" w:space="0" w:color="E3E3E3"/>
                  </w:divBdr>
                  <w:divsChild>
                    <w:div w:id="330526630">
                      <w:marLeft w:val="0"/>
                      <w:marRight w:val="0"/>
                      <w:marTop w:val="0"/>
                      <w:marBottom w:val="0"/>
                      <w:divBdr>
                        <w:top w:val="single" w:sz="2" w:space="0" w:color="E3E3E3"/>
                        <w:left w:val="single" w:sz="2" w:space="0" w:color="E3E3E3"/>
                        <w:bottom w:val="single" w:sz="2" w:space="0" w:color="E3E3E3"/>
                        <w:right w:val="single" w:sz="2" w:space="0" w:color="E3E3E3"/>
                      </w:divBdr>
                      <w:divsChild>
                        <w:div w:id="1728798654">
                          <w:marLeft w:val="0"/>
                          <w:marRight w:val="0"/>
                          <w:marTop w:val="0"/>
                          <w:marBottom w:val="0"/>
                          <w:divBdr>
                            <w:top w:val="single" w:sz="2" w:space="0" w:color="E3E3E3"/>
                            <w:left w:val="single" w:sz="2" w:space="0" w:color="E3E3E3"/>
                            <w:bottom w:val="single" w:sz="2" w:space="0" w:color="E3E3E3"/>
                            <w:right w:val="single" w:sz="2" w:space="0" w:color="E3E3E3"/>
                          </w:divBdr>
                          <w:divsChild>
                            <w:div w:id="1251043795">
                              <w:marLeft w:val="0"/>
                              <w:marRight w:val="0"/>
                              <w:marTop w:val="100"/>
                              <w:marBottom w:val="100"/>
                              <w:divBdr>
                                <w:top w:val="single" w:sz="2" w:space="0" w:color="E3E3E3"/>
                                <w:left w:val="single" w:sz="2" w:space="0" w:color="E3E3E3"/>
                                <w:bottom w:val="single" w:sz="2" w:space="0" w:color="E3E3E3"/>
                                <w:right w:val="single" w:sz="2" w:space="0" w:color="E3E3E3"/>
                              </w:divBdr>
                              <w:divsChild>
                                <w:div w:id="1302923793">
                                  <w:marLeft w:val="0"/>
                                  <w:marRight w:val="0"/>
                                  <w:marTop w:val="0"/>
                                  <w:marBottom w:val="0"/>
                                  <w:divBdr>
                                    <w:top w:val="single" w:sz="2" w:space="0" w:color="E3E3E3"/>
                                    <w:left w:val="single" w:sz="2" w:space="0" w:color="E3E3E3"/>
                                    <w:bottom w:val="single" w:sz="2" w:space="0" w:color="E3E3E3"/>
                                    <w:right w:val="single" w:sz="2" w:space="0" w:color="E3E3E3"/>
                                  </w:divBdr>
                                  <w:divsChild>
                                    <w:div w:id="676883746">
                                      <w:marLeft w:val="0"/>
                                      <w:marRight w:val="0"/>
                                      <w:marTop w:val="0"/>
                                      <w:marBottom w:val="0"/>
                                      <w:divBdr>
                                        <w:top w:val="single" w:sz="2" w:space="0" w:color="E3E3E3"/>
                                        <w:left w:val="single" w:sz="2" w:space="0" w:color="E3E3E3"/>
                                        <w:bottom w:val="single" w:sz="2" w:space="0" w:color="E3E3E3"/>
                                        <w:right w:val="single" w:sz="2" w:space="0" w:color="E3E3E3"/>
                                      </w:divBdr>
                                      <w:divsChild>
                                        <w:div w:id="1483035111">
                                          <w:marLeft w:val="0"/>
                                          <w:marRight w:val="0"/>
                                          <w:marTop w:val="0"/>
                                          <w:marBottom w:val="0"/>
                                          <w:divBdr>
                                            <w:top w:val="single" w:sz="2" w:space="0" w:color="E3E3E3"/>
                                            <w:left w:val="single" w:sz="2" w:space="0" w:color="E3E3E3"/>
                                            <w:bottom w:val="single" w:sz="2" w:space="0" w:color="E3E3E3"/>
                                            <w:right w:val="single" w:sz="2" w:space="0" w:color="E3E3E3"/>
                                          </w:divBdr>
                                          <w:divsChild>
                                            <w:div w:id="262688489">
                                              <w:marLeft w:val="0"/>
                                              <w:marRight w:val="0"/>
                                              <w:marTop w:val="0"/>
                                              <w:marBottom w:val="0"/>
                                              <w:divBdr>
                                                <w:top w:val="single" w:sz="2" w:space="0" w:color="E3E3E3"/>
                                                <w:left w:val="single" w:sz="2" w:space="0" w:color="E3E3E3"/>
                                                <w:bottom w:val="single" w:sz="2" w:space="0" w:color="E3E3E3"/>
                                                <w:right w:val="single" w:sz="2" w:space="0" w:color="E3E3E3"/>
                                              </w:divBdr>
                                              <w:divsChild>
                                                <w:div w:id="1012073559">
                                                  <w:marLeft w:val="0"/>
                                                  <w:marRight w:val="0"/>
                                                  <w:marTop w:val="0"/>
                                                  <w:marBottom w:val="0"/>
                                                  <w:divBdr>
                                                    <w:top w:val="single" w:sz="2" w:space="0" w:color="E3E3E3"/>
                                                    <w:left w:val="single" w:sz="2" w:space="0" w:color="E3E3E3"/>
                                                    <w:bottom w:val="single" w:sz="2" w:space="0" w:color="E3E3E3"/>
                                                    <w:right w:val="single" w:sz="2" w:space="0" w:color="E3E3E3"/>
                                                  </w:divBdr>
                                                  <w:divsChild>
                                                    <w:div w:id="2132437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16432283">
          <w:marLeft w:val="0"/>
          <w:marRight w:val="0"/>
          <w:marTop w:val="0"/>
          <w:marBottom w:val="0"/>
          <w:divBdr>
            <w:top w:val="none" w:sz="0" w:space="0" w:color="auto"/>
            <w:left w:val="none" w:sz="0" w:space="0" w:color="auto"/>
            <w:bottom w:val="none" w:sz="0" w:space="0" w:color="auto"/>
            <w:right w:val="none" w:sz="0" w:space="0" w:color="auto"/>
          </w:divBdr>
        </w:div>
      </w:divsChild>
    </w:div>
    <w:div w:id="48770665">
      <w:bodyDiv w:val="1"/>
      <w:marLeft w:val="0"/>
      <w:marRight w:val="0"/>
      <w:marTop w:val="0"/>
      <w:marBottom w:val="0"/>
      <w:divBdr>
        <w:top w:val="none" w:sz="0" w:space="0" w:color="auto"/>
        <w:left w:val="none" w:sz="0" w:space="0" w:color="auto"/>
        <w:bottom w:val="none" w:sz="0" w:space="0" w:color="auto"/>
        <w:right w:val="none" w:sz="0" w:space="0" w:color="auto"/>
      </w:divBdr>
    </w:div>
    <w:div w:id="291205809">
      <w:bodyDiv w:val="1"/>
      <w:marLeft w:val="0"/>
      <w:marRight w:val="0"/>
      <w:marTop w:val="0"/>
      <w:marBottom w:val="0"/>
      <w:divBdr>
        <w:top w:val="none" w:sz="0" w:space="0" w:color="auto"/>
        <w:left w:val="none" w:sz="0" w:space="0" w:color="auto"/>
        <w:bottom w:val="none" w:sz="0" w:space="0" w:color="auto"/>
        <w:right w:val="none" w:sz="0" w:space="0" w:color="auto"/>
      </w:divBdr>
    </w:div>
    <w:div w:id="352996301">
      <w:bodyDiv w:val="1"/>
      <w:marLeft w:val="0"/>
      <w:marRight w:val="0"/>
      <w:marTop w:val="0"/>
      <w:marBottom w:val="0"/>
      <w:divBdr>
        <w:top w:val="none" w:sz="0" w:space="0" w:color="auto"/>
        <w:left w:val="none" w:sz="0" w:space="0" w:color="auto"/>
        <w:bottom w:val="none" w:sz="0" w:space="0" w:color="auto"/>
        <w:right w:val="none" w:sz="0" w:space="0" w:color="auto"/>
      </w:divBdr>
    </w:div>
    <w:div w:id="660502308">
      <w:bodyDiv w:val="1"/>
      <w:marLeft w:val="0"/>
      <w:marRight w:val="0"/>
      <w:marTop w:val="0"/>
      <w:marBottom w:val="0"/>
      <w:divBdr>
        <w:top w:val="none" w:sz="0" w:space="0" w:color="auto"/>
        <w:left w:val="none" w:sz="0" w:space="0" w:color="auto"/>
        <w:bottom w:val="none" w:sz="0" w:space="0" w:color="auto"/>
        <w:right w:val="none" w:sz="0" w:space="0" w:color="auto"/>
      </w:divBdr>
    </w:div>
    <w:div w:id="775835531">
      <w:bodyDiv w:val="1"/>
      <w:marLeft w:val="0"/>
      <w:marRight w:val="0"/>
      <w:marTop w:val="0"/>
      <w:marBottom w:val="0"/>
      <w:divBdr>
        <w:top w:val="none" w:sz="0" w:space="0" w:color="auto"/>
        <w:left w:val="none" w:sz="0" w:space="0" w:color="auto"/>
        <w:bottom w:val="none" w:sz="0" w:space="0" w:color="auto"/>
        <w:right w:val="none" w:sz="0" w:space="0" w:color="auto"/>
      </w:divBdr>
    </w:div>
    <w:div w:id="905605468">
      <w:bodyDiv w:val="1"/>
      <w:marLeft w:val="0"/>
      <w:marRight w:val="0"/>
      <w:marTop w:val="0"/>
      <w:marBottom w:val="0"/>
      <w:divBdr>
        <w:top w:val="none" w:sz="0" w:space="0" w:color="auto"/>
        <w:left w:val="none" w:sz="0" w:space="0" w:color="auto"/>
        <w:bottom w:val="none" w:sz="0" w:space="0" w:color="auto"/>
        <w:right w:val="none" w:sz="0" w:space="0" w:color="auto"/>
      </w:divBdr>
    </w:div>
    <w:div w:id="984238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ONEEAR.2021.04.002"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i.org/10.3390/su1206246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80/23322039.2021.1921911"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oi.org/10.1016/j.jclepro.2021.125825" TargetMode="External"/><Relationship Id="rId4" Type="http://schemas.microsoft.com/office/2007/relationships/stylesWithEffects" Target="stylesWithEffects.xml"/><Relationship Id="rId9" Type="http://schemas.openxmlformats.org/officeDocument/2006/relationships/hyperlink" Target="https://doi.org/10.1016/j.jclepro.2019.118245" TargetMode="External"/><Relationship Id="rId14" Type="http://schemas.openxmlformats.org/officeDocument/2006/relationships/hyperlink" Target="https://doi.org/10.3390/en151554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B5EA6-3387-413C-8AFB-389B852FF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1933</TotalTime>
  <Pages>24</Pages>
  <Words>8801</Words>
  <Characters>50168</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RENET</cp:lastModifiedBy>
  <cp:revision>21</cp:revision>
  <dcterms:created xsi:type="dcterms:W3CDTF">2024-02-11T13:55:00Z</dcterms:created>
  <dcterms:modified xsi:type="dcterms:W3CDTF">2024-02-14T10:05:00Z</dcterms:modified>
</cp:coreProperties>
</file>