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Fairness Metrics Report: 90-Day Churn Model v1.0.0</w:t>
      </w:r>
    </w:p>
    <w:p>
      <w:r>
        <w:rPr>
          <w:b/>
        </w:rPr>
        <w:t>Project:</w:t>
      </w:r>
      <w:r>
        <w:t xml:space="preserve"> Retail Analytics Decision Support Platform · </w:t>
      </w:r>
      <w:r>
        <w:rPr>
          <w:b/>
        </w:rPr>
        <w:t>Model:</w:t>
      </w:r>
      <w:r>
        <w:t xml:space="preserve"> </w:t>
      </w:r>
      <w:r>
        <w:rPr>
          <w:rFonts w:ascii="Consolas" w:hAnsi="Consolas"/>
          <w:sz w:val="18"/>
        </w:rPr>
        <w:t>churn_logreg</w:t>
      </w:r>
      <w:r>
        <w:t xml:space="preserve"> v1.0.0 · </w:t>
      </w:r>
      <w:r>
        <w:rPr>
          <w:b/>
        </w:rPr>
        <w:t>Author:</w:t>
      </w:r>
      <w:r>
        <w:t xml:space="preserve"> Bezzel Chitsungo · </w:t>
      </w:r>
      <w:r>
        <w:rPr>
          <w:b/>
        </w:rPr>
        <w:t>Companion documents:</w:t>
      </w:r>
      <w:r>
        <w:t xml:space="preserve"> Model Validation Report (§6), Model Card.</w:t>
      </w:r>
    </w:p>
    <w:p>
      <w:pPr>
        <w:ind w:left="432"/>
      </w:pPr>
      <w:r>
        <w:rPr>
          <w:b/>
        </w:rPr>
        <w:t>Read this first.</w:t>
      </w:r>
      <w:r>
        <w:t xml:space="preserve"> The dataset has </w:t>
      </w:r>
      <w:r>
        <w:rPr>
          <w:b/>
        </w:rPr>
        <w:t>no protected attributes</w:t>
      </w:r>
      <w:r>
        <w:t xml:space="preserve">, and none were inferred. Country is an operational field, not a protected attribute. The analysis below uses </w:t>
      </w:r>
      <w:r>
        <w:rPr>
          <w:b/>
        </w:rPr>
        <w:t>UK vs non-UK</w:t>
      </w:r>
      <w:r>
        <w:t xml:space="preserve"> as a </w:t>
      </w:r>
      <w:r>
        <w:rPr>
          <w:i/>
        </w:rPr>
        <w:t>supplementary operational grouping</w:t>
      </w:r>
      <w:r>
        <w:t xml:space="preserve"> only, so that the Module 1 commitment to examine country variables for proxy effects is not ignored. </w:t>
      </w:r>
      <w:r>
        <w:rPr>
          <w:b/>
        </w:rPr>
        <w:t>It does not satisfy a protected-attribute fairness requirement.</w:t>
      </w:r>
      <w:r>
        <w:t xml:space="preserve"> That requirement is </w:t>
      </w:r>
      <w:r>
        <w:rPr>
          <w:b/>
        </w:rPr>
        <w:t>unmet and pending instructor clarification</w:t>
      </w:r>
      <w:r>
        <w:t xml:space="preserve"> (draft request: </w:t>
      </w:r>
      <w:r>
        <w:rPr>
          <w:rFonts w:ascii="Consolas" w:hAnsi="Consolas"/>
          <w:sz w:val="18"/>
        </w:rPr>
        <w:t>docs/instructor_clarification_request_DRAFT.md</w:t>
      </w:r>
      <w:r>
        <w:t>, not sent). Nothing in this report claims the model is fair or that bias has been eliminated.</w:t>
      </w:r>
    </w:p>
    <w:p>
      <w:pPr>
        <w:pStyle w:val="Heading2"/>
      </w:pPr>
      <w:r>
        <w:t>1. Setup</w:t>
      </w:r>
    </w:p>
    <w:p>
      <w:pPr>
        <w:pStyle w:val="ListBullet"/>
      </w:pPr>
      <w:r>
        <w:rPr>
          <w:b/>
        </w:rPr>
        <w:t>Positive prediction:</w:t>
      </w:r>
      <w:r>
        <w:t xml:space="preserve"> flagged for a retention offer (probability ≥ 0.313903, the threshold that maximises F1 on validation).</w:t>
      </w:r>
    </w:p>
    <w:p>
      <w:pPr>
        <w:pStyle w:val="ListBullet"/>
      </w:pPr>
      <w:r>
        <w:rPr>
          <w:b/>
        </w:rPr>
        <w:t>Outcome:</w:t>
      </w:r>
      <w:r>
        <w:t xml:space="preserve"> churn = no sales invoice in the 90 days after the prediction date (window PROPOSED, pending Marketing).</w:t>
      </w:r>
    </w:p>
    <w:p>
      <w:pPr>
        <w:pStyle w:val="ListBullet"/>
      </w:pPr>
      <w:r>
        <w:rPr>
          <w:b/>
        </w:rPr>
        <w:t>Groups:</w:t>
      </w:r>
      <w:r>
        <w:t xml:space="preserve"> UK (</w:t>
      </w:r>
      <w:r>
        <w:rPr>
          <w:rFonts w:ascii="Consolas" w:hAnsi="Consolas"/>
          <w:sz w:val="18"/>
        </w:rPr>
        <w:t>United Kingdom</w:t>
      </w:r>
      <w:r>
        <w:t>) and Non-UK (all other countries). Group membership is held out of the predictors; an ablation shows a UK flag changes validation AUC by 0.0002.</w:t>
      </w:r>
    </w:p>
    <w:p>
      <w:pPr>
        <w:pStyle w:val="ListBullet"/>
      </w:pPr>
      <w:r>
        <w:rPr>
          <w:b/>
        </w:rPr>
        <w:t>Units:</w:t>
      </w:r>
      <w:r>
        <w:t xml:space="preserve"> customer-snapshot rows. Rows from one customer are correlated, so every interval is a </w:t>
      </w:r>
      <w:r>
        <w:rPr>
          <w:b/>
        </w:rPr>
        <w:t>customer-clustered bootstrap</w:t>
      </w:r>
      <w:r>
        <w:t xml:space="preserve"> (95%); proportions use Wilson intervals.</w:t>
      </w:r>
    </w:p>
    <w:p>
      <w:pPr>
        <w:pStyle w:val="ListBullet"/>
      </w:pPr>
      <w:r>
        <w:rPr>
          <w:b/>
        </w:rPr>
        <w:t>Minimum group size:</w:t>
      </w:r>
      <w:r>
        <w:t xml:space="preserve"> 100 rows; smaller groups are tabulated but flagged and not interpreted.</w:t>
      </w:r>
    </w:p>
    <w:p>
      <w:pPr>
        <w:pStyle w:val="ListBullet"/>
      </w:pPr>
      <w:r>
        <w:rPr>
          <w:b/>
        </w:rPr>
        <w:t>Governance thresholds</w:t>
      </w:r>
      <w:r>
        <w:t xml:space="preserve"> (programme choices, not statistical or legal tests): disparate impact ratio within 0.80–1.25 (Module 2); group TPR and FPR within ±10% of overall (Module 1).</w:t>
      </w:r>
    </w:p>
    <w:p>
      <w:pPr>
        <w:pStyle w:val="Heading2"/>
      </w:pPr>
      <w:r>
        <w:t>2. Metric definitions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>
              <w:rPr>
                <w:b/>
              </w:rPr>
            </w:r>
            <w:r>
              <w:rPr>
                <w:b/>
                <w:sz w:val="18"/>
              </w:rPr>
              <w:t>Metric</w:t>
            </w:r>
          </w:p>
        </w:tc>
        <w:tc>
          <w:tcPr>
            <w:tcW w:type="dxa" w:w="4680"/>
          </w:tcPr>
          <w:p>
            <w:r>
              <w:rPr>
                <w:b/>
              </w:rPr>
            </w:r>
            <w:r>
              <w:rPr>
                <w:b/>
                <w:sz w:val="18"/>
              </w:rPr>
              <w:t>Definition (Non-UK relative to UK unless stated)</w:t>
            </w:r>
          </w:p>
        </w:tc>
      </w:tr>
      <w:tr>
        <w:tc>
          <w:tcPr>
            <w:tcW w:type="dxa" w:w="4680"/>
          </w:tcPr>
          <w:p>
            <w:r/>
            <w:r>
              <w:rPr>
                <w:sz w:val="18"/>
              </w:rPr>
              <w:t>Demographic parity difference (DPD)</w:t>
            </w:r>
          </w:p>
        </w:tc>
        <w:tc>
          <w:tcPr>
            <w:tcW w:type="dxa" w:w="4680"/>
          </w:tcPr>
          <w:p>
            <w:r/>
            <w:r>
              <w:rPr>
                <w:sz w:val="18"/>
              </w:rPr>
              <w:t>selection rate(Non-UK) − selection rate(UK)</w:t>
            </w:r>
          </w:p>
        </w:tc>
      </w:tr>
      <w:tr>
        <w:tc>
          <w:tcPr>
            <w:tcW w:type="dxa" w:w="4680"/>
          </w:tcPr>
          <w:p>
            <w:r/>
            <w:r>
              <w:rPr>
                <w:sz w:val="18"/>
              </w:rPr>
              <w:t>Disparate impact ratio (DI)</w:t>
            </w:r>
          </w:p>
        </w:tc>
        <w:tc>
          <w:tcPr>
            <w:tcW w:type="dxa" w:w="4680"/>
          </w:tcPr>
          <w:p>
            <w:r/>
            <w:r>
              <w:rPr>
                <w:sz w:val="18"/>
              </w:rPr>
              <w:t>selection rate(Non-UK) ÷ selection rate(UK)</w:t>
            </w:r>
          </w:p>
        </w:tc>
      </w:tr>
      <w:tr>
        <w:tc>
          <w:tcPr>
            <w:tcW w:type="dxa" w:w="4680"/>
          </w:tcPr>
          <w:p>
            <w:r/>
            <w:r>
              <w:rPr>
                <w:sz w:val="18"/>
              </w:rPr>
              <w:t>TPR difference</w:t>
            </w:r>
          </w:p>
        </w:tc>
        <w:tc>
          <w:tcPr>
            <w:tcW w:type="dxa" w:w="4680"/>
          </w:tcPr>
          <w:p>
            <w:r/>
            <w:r>
              <w:rPr>
                <w:sz w:val="18"/>
              </w:rPr>
              <w:t>recall(Non-UK) − recall(UK)</w:t>
            </w:r>
          </w:p>
        </w:tc>
      </w:tr>
      <w:tr>
        <w:tc>
          <w:tcPr>
            <w:tcW w:type="dxa" w:w="4680"/>
          </w:tcPr>
          <w:p>
            <w:r/>
            <w:r>
              <w:rPr>
                <w:sz w:val="18"/>
              </w:rPr>
              <w:t>FPR difference</w:t>
            </w:r>
          </w:p>
        </w:tc>
        <w:tc>
          <w:tcPr>
            <w:tcW w:type="dxa" w:w="4680"/>
          </w:tcPr>
          <w:p>
            <w:r/>
            <w:r>
              <w:rPr>
                <w:sz w:val="18"/>
              </w:rPr>
              <w:t>false positive rate(Non-UK) − false positive rate(UK)</w:t>
            </w:r>
          </w:p>
        </w:tc>
      </w:tr>
      <w:tr>
        <w:tc>
          <w:tcPr>
            <w:tcW w:type="dxa" w:w="4680"/>
          </w:tcPr>
          <w:p>
            <w:r/>
            <w:r>
              <w:rPr>
                <w:sz w:val="18"/>
              </w:rPr>
              <w:t>Equalised-odds difference</w:t>
            </w:r>
          </w:p>
        </w:tc>
        <w:tc>
          <w:tcPr>
            <w:tcW w:type="dxa" w:w="4680"/>
          </w:tcPr>
          <w:p>
            <w:r/>
            <w:r>
              <w:rPr>
                <w:sz w:val="18"/>
              </w:rPr>
              <w:t>larger of the absolute TPR difference and absolute FPR difference</w:t>
            </w:r>
          </w:p>
        </w:tc>
      </w:tr>
      <w:tr>
        <w:tc>
          <w:tcPr>
            <w:tcW w:type="dxa" w:w="4680"/>
          </w:tcPr>
          <w:p>
            <w:r/>
            <w:r>
              <w:rPr>
                <w:sz w:val="18"/>
              </w:rPr>
              <w:t>TPR or FPR vs overall</w:t>
            </w:r>
          </w:p>
        </w:tc>
        <w:tc>
          <w:tcPr>
            <w:tcW w:type="dxa" w:w="4680"/>
          </w:tcPr>
          <w:p>
            <w:r/>
            <w:r>
              <w:rPr>
                <w:sz w:val="18"/>
              </w:rPr>
              <w:t>group rate ÷ overall rate (band 0.90–1.10)</w:t>
            </w:r>
          </w:p>
        </w:tc>
      </w:tr>
    </w:tbl>
    <w:p>
      <w:pPr>
        <w:pStyle w:val="Heading2"/>
      </w:pPr>
      <w:r>
        <w:t>3. Pre-declared validation gate (used for model selection)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</w:tcPr>
          <w:p>
            <w:r>
              <w:rPr>
                <w:b/>
              </w:rPr>
            </w:r>
            <w:r>
              <w:rPr>
                <w:b/>
                <w:sz w:val="18"/>
              </w:rPr>
              <w:t>Candidate</w:t>
            </w:r>
          </w:p>
        </w:tc>
        <w:tc>
          <w:tcPr>
            <w:tcW w:type="dxa" w:w="1872"/>
          </w:tcPr>
          <w:p>
            <w:r>
              <w:rPr>
                <w:b/>
              </w:rPr>
            </w:r>
            <w:r>
              <w:rPr>
                <w:b/>
                <w:sz w:val="18"/>
              </w:rPr>
              <w:t>DI ratio</w:t>
            </w:r>
          </w:p>
        </w:tc>
        <w:tc>
          <w:tcPr>
            <w:tcW w:type="dxa" w:w="1872"/>
          </w:tcPr>
          <w:p>
            <w:r>
              <w:rPr>
                <w:b/>
              </w:rPr>
            </w:r>
            <w:r>
              <w:rPr>
                <w:b/>
                <w:sz w:val="18"/>
              </w:rPr>
              <w:t>TPR vs overall</w:t>
            </w:r>
          </w:p>
        </w:tc>
        <w:tc>
          <w:tcPr>
            <w:tcW w:type="dxa" w:w="1872"/>
          </w:tcPr>
          <w:p>
            <w:r>
              <w:rPr>
                <w:b/>
              </w:rPr>
            </w:r>
            <w:r>
              <w:rPr>
                <w:b/>
                <w:sz w:val="18"/>
              </w:rPr>
              <w:t>FPR vs overall</w:t>
            </w:r>
          </w:p>
        </w:tc>
        <w:tc>
          <w:tcPr>
            <w:tcW w:type="dxa" w:w="1872"/>
          </w:tcPr>
          <w:p>
            <w:r>
              <w:rPr>
                <w:b/>
              </w:rPr>
            </w:r>
            <w:r>
              <w:rPr>
                <w:b/>
                <w:sz w:val="18"/>
              </w:rPr>
              <w:t>Passes gate</w:t>
            </w:r>
          </w:p>
        </w:tc>
      </w:tr>
      <w:tr>
        <w:tc>
          <w:tcPr>
            <w:tcW w:type="dxa" w:w="1872"/>
          </w:tcPr>
          <w:p>
            <w:r/>
            <w:r>
              <w:rPr>
                <w:sz w:val="18"/>
              </w:rPr>
              <w:t>logreg</w:t>
            </w:r>
          </w:p>
        </w:tc>
        <w:tc>
          <w:tcPr>
            <w:tcW w:type="dxa" w:w="1872"/>
          </w:tcPr>
          <w:p>
            <w:r/>
            <w:r>
              <w:rPr>
                <w:sz w:val="18"/>
              </w:rPr>
              <w:t>1.007</w:t>
            </w:r>
          </w:p>
        </w:tc>
        <w:tc>
          <w:tcPr>
            <w:tcW w:type="dxa" w:w="1872"/>
          </w:tcPr>
          <w:p>
            <w:r/>
            <w:r>
              <w:rPr>
                <w:sz w:val="18"/>
              </w:rPr>
              <w:t>1.031</w:t>
            </w:r>
          </w:p>
        </w:tc>
        <w:tc>
          <w:tcPr>
            <w:tcW w:type="dxa" w:w="1872"/>
          </w:tcPr>
          <w:p>
            <w:r/>
            <w:r>
              <w:rPr>
                <w:sz w:val="18"/>
              </w:rPr>
              <w:t>1.002</w:t>
            </w:r>
          </w:p>
        </w:tc>
        <w:tc>
          <w:tcPr>
            <w:tcW w:type="dxa" w:w="1872"/>
          </w:tcPr>
          <w:p>
            <w:r/>
            <w:r>
              <w:rPr>
                <w:sz w:val="18"/>
              </w:rPr>
              <w:t>True</w:t>
            </w:r>
          </w:p>
        </w:tc>
      </w:tr>
      <w:tr>
        <w:tc>
          <w:tcPr>
            <w:tcW w:type="dxa" w:w="1872"/>
          </w:tcPr>
          <w:p>
            <w:r/>
            <w:r>
              <w:rPr>
                <w:sz w:val="18"/>
              </w:rPr>
              <w:t>lightgbm</w:t>
            </w:r>
          </w:p>
        </w:tc>
        <w:tc>
          <w:tcPr>
            <w:tcW w:type="dxa" w:w="1872"/>
          </w:tcPr>
          <w:p>
            <w:r/>
            <w:r>
              <w:rPr>
                <w:sz w:val="18"/>
              </w:rPr>
              <w:t>0.979</w:t>
            </w:r>
          </w:p>
        </w:tc>
        <w:tc>
          <w:tcPr>
            <w:tcW w:type="dxa" w:w="1872"/>
          </w:tcPr>
          <w:p>
            <w:r/>
            <w:r>
              <w:rPr>
                <w:sz w:val="18"/>
              </w:rPr>
              <w:t>1.022</w:t>
            </w:r>
          </w:p>
        </w:tc>
        <w:tc>
          <w:tcPr>
            <w:tcW w:type="dxa" w:w="1872"/>
          </w:tcPr>
          <w:p>
            <w:r/>
            <w:r>
              <w:rPr>
                <w:sz w:val="18"/>
              </w:rPr>
              <w:t>0.942</w:t>
            </w:r>
          </w:p>
        </w:tc>
        <w:tc>
          <w:tcPr>
            <w:tcW w:type="dxa" w:w="1872"/>
          </w:tcPr>
          <w:p>
            <w:r/>
            <w:r>
              <w:rPr>
                <w:sz w:val="18"/>
              </w:rPr>
              <w:t>True</w:t>
            </w:r>
          </w:p>
        </w:tc>
      </w:tr>
      <w:tr>
        <w:tc>
          <w:tcPr>
            <w:tcW w:type="dxa" w:w="1872"/>
          </w:tcPr>
          <w:p>
            <w:r/>
            <w:r>
              <w:rPr>
                <w:sz w:val="18"/>
              </w:rPr>
              <w:t>random_forest</w:t>
            </w:r>
          </w:p>
        </w:tc>
        <w:tc>
          <w:tcPr>
            <w:tcW w:type="dxa" w:w="1872"/>
          </w:tcPr>
          <w:p>
            <w:r/>
            <w:r>
              <w:rPr>
                <w:sz w:val="18"/>
              </w:rPr>
              <w:t>0.982</w:t>
            </w:r>
          </w:p>
        </w:tc>
        <w:tc>
          <w:tcPr>
            <w:tcW w:type="dxa" w:w="1872"/>
          </w:tcPr>
          <w:p>
            <w:r/>
            <w:r>
              <w:rPr>
                <w:sz w:val="18"/>
              </w:rPr>
              <w:t>1.036</w:t>
            </w:r>
          </w:p>
        </w:tc>
        <w:tc>
          <w:tcPr>
            <w:tcW w:type="dxa" w:w="1872"/>
          </w:tcPr>
          <w:p>
            <w:r/>
            <w:r>
              <w:rPr>
                <w:sz w:val="18"/>
              </w:rPr>
              <w:t>0.923</w:t>
            </w:r>
          </w:p>
        </w:tc>
        <w:tc>
          <w:tcPr>
            <w:tcW w:type="dxa" w:w="1872"/>
          </w:tcPr>
          <w:p>
            <w:r/>
            <w:r>
              <w:rPr>
                <w:sz w:val="18"/>
              </w:rPr>
              <w:t>True</w:t>
            </w:r>
          </w:p>
        </w:tc>
      </w:tr>
    </w:tbl>
    <w:p>
      <w:r>
        <w:rPr>
          <w:i/>
          <w:sz w:val="19"/>
        </w:rPr>
        <w:t>Table 1. Validation gate (Mar–Apr 2011). All candidates passed, so selection followed the interpretability rule and mitigation was not triggered.</w:t>
      </w:r>
    </w:p>
    <w:p>
      <w:pPr>
        <w:pStyle w:val="Heading2"/>
      </w:pPr>
      <w:r>
        <w:t>4. Test-set results for the selected model (scored once for this iteration)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560"/>
        <w:gridCol w:w="1560"/>
        <w:gridCol w:w="1560"/>
        <w:gridCol w:w="1560"/>
        <w:gridCol w:w="1560"/>
        <w:gridCol w:w="1560"/>
      </w:tblGrid>
      <w:tr>
        <w:tc>
          <w:tcPr>
            <w:tcW w:type="dxa" w:w="1560"/>
          </w:tcPr>
          <w:p>
            <w:r>
              <w:rPr>
                <w:b/>
              </w:rPr>
            </w:r>
            <w:r>
              <w:rPr>
                <w:b/>
                <w:sz w:val="18"/>
              </w:rPr>
              <w:t>Group</w:t>
            </w:r>
          </w:p>
        </w:tc>
        <w:tc>
          <w:tcPr>
            <w:tcW w:type="dxa" w:w="1560"/>
          </w:tcPr>
          <w:p>
            <w:r>
              <w:rPr>
                <w:b/>
              </w:rPr>
            </w:r>
            <w:r>
              <w:rPr>
                <w:b/>
                <w:sz w:val="18"/>
              </w:rPr>
              <w:t>Rows</w:t>
            </w:r>
          </w:p>
        </w:tc>
        <w:tc>
          <w:tcPr>
            <w:tcW w:type="dxa" w:w="1560"/>
          </w:tcPr>
          <w:p>
            <w:r>
              <w:rPr>
                <w:b/>
              </w:rPr>
            </w:r>
            <w:r>
              <w:rPr>
                <w:b/>
                <w:sz w:val="18"/>
              </w:rPr>
              <w:t>Churn rate</w:t>
            </w:r>
          </w:p>
        </w:tc>
        <w:tc>
          <w:tcPr>
            <w:tcW w:type="dxa" w:w="1560"/>
          </w:tcPr>
          <w:p>
            <w:r>
              <w:rPr>
                <w:b/>
              </w:rPr>
            </w:r>
            <w:r>
              <w:rPr>
                <w:b/>
                <w:sz w:val="18"/>
              </w:rPr>
              <w:t>Selection rate (95% CI)</w:t>
            </w:r>
          </w:p>
        </w:tc>
        <w:tc>
          <w:tcPr>
            <w:tcW w:type="dxa" w:w="1560"/>
          </w:tcPr>
          <w:p>
            <w:r>
              <w:rPr>
                <w:b/>
              </w:rPr>
            </w:r>
            <w:r>
              <w:rPr>
                <w:b/>
                <w:sz w:val="18"/>
              </w:rPr>
              <w:t>TPR (95% CI)</w:t>
            </w:r>
          </w:p>
        </w:tc>
        <w:tc>
          <w:tcPr>
            <w:tcW w:type="dxa" w:w="1560"/>
          </w:tcPr>
          <w:p>
            <w:r>
              <w:rPr>
                <w:b/>
              </w:rPr>
            </w:r>
            <w:r>
              <w:rPr>
                <w:b/>
                <w:sz w:val="18"/>
              </w:rPr>
              <w:t>FPR (95% CI)</w:t>
            </w:r>
          </w:p>
        </w:tc>
      </w:tr>
      <w:tr>
        <w:tc>
          <w:tcPr>
            <w:tcW w:type="dxa" w:w="1560"/>
          </w:tcPr>
          <w:p>
            <w:r/>
            <w:r>
              <w:rPr>
                <w:sz w:val="18"/>
              </w:rPr>
              <w:t>UK</w:t>
            </w:r>
          </w:p>
        </w:tc>
        <w:tc>
          <w:tcPr>
            <w:tcW w:type="dxa" w:w="1560"/>
          </w:tcPr>
          <w:p>
            <w:r/>
            <w:r>
              <w:rPr>
                <w:sz w:val="18"/>
              </w:rPr>
              <w:t>5,002</w:t>
            </w:r>
          </w:p>
        </w:tc>
        <w:tc>
          <w:tcPr>
            <w:tcW w:type="dxa" w:w="1560"/>
          </w:tcPr>
          <w:p>
            <w:r/>
            <w:r>
              <w:rPr>
                <w:sz w:val="18"/>
              </w:rPr>
              <w:t>0.422</w:t>
            </w:r>
          </w:p>
        </w:tc>
        <w:tc>
          <w:tcPr>
            <w:tcW w:type="dxa" w:w="1560"/>
          </w:tcPr>
          <w:p>
            <w:r/>
            <w:r>
              <w:rPr>
                <w:sz w:val="18"/>
              </w:rPr>
              <w:t>0.673 (0.660–0.686)</w:t>
            </w:r>
          </w:p>
        </w:tc>
        <w:tc>
          <w:tcPr>
            <w:tcW w:type="dxa" w:w="1560"/>
          </w:tcPr>
          <w:p>
            <w:r/>
            <w:r>
              <w:rPr>
                <w:sz w:val="18"/>
              </w:rPr>
              <w:t>0.882 (0.868–0.895)</w:t>
            </w:r>
          </w:p>
        </w:tc>
        <w:tc>
          <w:tcPr>
            <w:tcW w:type="dxa" w:w="1560"/>
          </w:tcPr>
          <w:p>
            <w:r/>
            <w:r>
              <w:rPr>
                <w:sz w:val="18"/>
              </w:rPr>
              <w:t>0.520 (0.502–0.538)</w:t>
            </w:r>
          </w:p>
        </w:tc>
      </w:tr>
      <w:tr>
        <w:tc>
          <w:tcPr>
            <w:tcW w:type="dxa" w:w="1560"/>
          </w:tcPr>
          <w:p>
            <w:r/>
            <w:r>
              <w:rPr>
                <w:sz w:val="18"/>
              </w:rPr>
              <w:t>Non-UK</w:t>
            </w:r>
          </w:p>
        </w:tc>
        <w:tc>
          <w:tcPr>
            <w:tcW w:type="dxa" w:w="1560"/>
          </w:tcPr>
          <w:p>
            <w:r/>
            <w:r>
              <w:rPr>
                <w:sz w:val="18"/>
              </w:rPr>
              <w:t>532</w:t>
            </w:r>
          </w:p>
        </w:tc>
        <w:tc>
          <w:tcPr>
            <w:tcW w:type="dxa" w:w="1560"/>
          </w:tcPr>
          <w:p>
            <w:r/>
            <w:r>
              <w:rPr>
                <w:sz w:val="18"/>
              </w:rPr>
              <w:t>0.378</w:t>
            </w:r>
          </w:p>
        </w:tc>
        <w:tc>
          <w:tcPr>
            <w:tcW w:type="dxa" w:w="1560"/>
          </w:tcPr>
          <w:p>
            <w:r/>
            <w:r>
              <w:rPr>
                <w:sz w:val="18"/>
              </w:rPr>
              <w:t>0.699 (0.659–0.737)</w:t>
            </w:r>
          </w:p>
        </w:tc>
        <w:tc>
          <w:tcPr>
            <w:tcW w:type="dxa" w:w="1560"/>
          </w:tcPr>
          <w:p>
            <w:r/>
            <w:r>
              <w:rPr>
                <w:sz w:val="18"/>
              </w:rPr>
              <w:t>0.871 (0.817–0.910)</w:t>
            </w:r>
          </w:p>
        </w:tc>
        <w:tc>
          <w:tcPr>
            <w:tcW w:type="dxa" w:w="1560"/>
          </w:tcPr>
          <w:p>
            <w:r/>
            <w:r>
              <w:rPr>
                <w:sz w:val="18"/>
              </w:rPr>
              <w:t>0.595 (0.541–0.647)</w:t>
            </w:r>
          </w:p>
        </w:tc>
      </w:tr>
      <w:tr>
        <w:tc>
          <w:tcPr>
            <w:tcW w:type="dxa" w:w="1560"/>
          </w:tcPr>
          <w:p>
            <w:r/>
            <w:r>
              <w:rPr>
                <w:sz w:val="18"/>
              </w:rPr>
              <w:t>Overall</w:t>
            </w:r>
          </w:p>
        </w:tc>
        <w:tc>
          <w:tcPr>
            <w:tcW w:type="dxa" w:w="1560"/>
          </w:tcPr>
          <w:p>
            <w:r/>
            <w:r>
              <w:rPr>
                <w:sz w:val="18"/>
              </w:rPr>
              <w:t>5,534</w:t>
            </w:r>
          </w:p>
        </w:tc>
        <w:tc>
          <w:tcPr>
            <w:tcW w:type="dxa" w:w="1560"/>
          </w:tcPr>
          <w:p>
            <w:r/>
            <w:r>
              <w:rPr>
                <w:sz w:val="18"/>
              </w:rPr>
              <w:t>0.418</w:t>
            </w:r>
          </w:p>
        </w:tc>
        <w:tc>
          <w:tcPr>
            <w:tcW w:type="dxa" w:w="1560"/>
          </w:tcPr>
          <w:p>
            <w:r/>
            <w:r>
              <w:rPr>
                <w:sz w:val="18"/>
              </w:rPr>
              <w:t>0.676</w:t>
            </w:r>
          </w:p>
        </w:tc>
        <w:tc>
          <w:tcPr>
            <w:tcW w:type="dxa" w:w="1560"/>
          </w:tcPr>
          <w:p>
            <w:r/>
            <w:r>
              <w:rPr>
                <w:sz w:val="18"/>
              </w:rPr>
              <w:t>0.881</w:t>
            </w:r>
          </w:p>
        </w:tc>
        <w:tc>
          <w:tcPr>
            <w:tcW w:type="dxa" w:w="1560"/>
          </w:tcPr>
          <w:p>
            <w:r/>
            <w:r>
              <w:rPr>
                <w:sz w:val="18"/>
              </w:rPr>
              <w:t>0.528</w:t>
            </w:r>
          </w:p>
        </w:tc>
      </w:tr>
    </w:tbl>
    <w:p>
      <w:r>
        <w:rPr>
          <w:i/>
          <w:sz w:val="19"/>
        </w:rPr>
        <w:t>Table 2. Group rates on test (Wilson 95% intervals).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</w:tcPr>
          <w:p>
            <w:r>
              <w:rPr>
                <w:b/>
              </w:rPr>
            </w:r>
            <w:r>
              <w:rPr>
                <w:b/>
                <w:sz w:val="18"/>
              </w:rPr>
              <w:t>Comparison</w:t>
            </w:r>
          </w:p>
        </w:tc>
        <w:tc>
          <w:tcPr>
            <w:tcW w:type="dxa" w:w="1872"/>
          </w:tcPr>
          <w:p>
            <w:r>
              <w:rPr>
                <w:b/>
              </w:rPr>
            </w:r>
            <w:r>
              <w:rPr>
                <w:b/>
                <w:sz w:val="18"/>
              </w:rPr>
              <w:t>Value</w:t>
            </w:r>
          </w:p>
        </w:tc>
        <w:tc>
          <w:tcPr>
            <w:tcW w:type="dxa" w:w="1872"/>
          </w:tcPr>
          <w:p>
            <w:r>
              <w:rPr>
                <w:b/>
              </w:rPr>
            </w:r>
            <w:r>
              <w:rPr>
                <w:b/>
                <w:sz w:val="18"/>
              </w:rPr>
              <w:t>95% CI (cluster bootstrap)</w:t>
            </w:r>
          </w:p>
        </w:tc>
        <w:tc>
          <w:tcPr>
            <w:tcW w:type="dxa" w:w="1872"/>
          </w:tcPr>
          <w:p>
            <w:r>
              <w:rPr>
                <w:b/>
              </w:rPr>
            </w:r>
            <w:r>
              <w:rPr>
                <w:b/>
                <w:sz w:val="18"/>
              </w:rPr>
              <w:t>Governance band</w:t>
            </w:r>
          </w:p>
        </w:tc>
        <w:tc>
          <w:tcPr>
            <w:tcW w:type="dxa" w:w="1872"/>
          </w:tcPr>
          <w:p>
            <w:r>
              <w:rPr>
                <w:b/>
              </w:rPr>
            </w:r>
            <w:r>
              <w:rPr>
                <w:b/>
                <w:sz w:val="18"/>
              </w:rPr>
              <w:t>Within band?</w:t>
            </w:r>
          </w:p>
        </w:tc>
      </w:tr>
      <w:tr>
        <w:tc>
          <w:tcPr>
            <w:tcW w:type="dxa" w:w="1872"/>
          </w:tcPr>
          <w:p>
            <w:r/>
            <w:r>
              <w:rPr>
                <w:sz w:val="18"/>
              </w:rPr>
              <w:t>DPD</w:t>
            </w:r>
          </w:p>
        </w:tc>
        <w:tc>
          <w:tcPr>
            <w:tcW w:type="dxa" w:w="1872"/>
          </w:tcPr>
          <w:p>
            <w:r/>
            <w:r>
              <w:rPr>
                <w:sz w:val="18"/>
              </w:rPr>
              <w:t>+0.026</w:t>
            </w:r>
          </w:p>
        </w:tc>
        <w:tc>
          <w:tcPr>
            <w:tcW w:type="dxa" w:w="1872"/>
          </w:tcPr>
          <w:p>
            <w:r/>
            <w:r>
              <w:rPr>
                <w:sz w:val="18"/>
              </w:rPr>
              <w:t>(-0.025, +0.081)</w:t>
            </w:r>
          </w:p>
        </w:tc>
        <w:tc>
          <w:tcPr>
            <w:tcW w:type="dxa" w:w="1872"/>
          </w:tcPr>
          <w:p>
            <w:r/>
            <w:r>
              <w:rPr>
                <w:sz w:val="18"/>
              </w:rPr>
              <w:t>n/a</w:t>
            </w:r>
          </w:p>
        </w:tc>
        <w:tc>
          <w:tcPr>
            <w:tcW w:type="dxa" w:w="1872"/>
          </w:tcPr>
          <w:p>
            <w:r/>
            <w:r>
              <w:rPr>
                <w:sz w:val="18"/>
              </w:rPr>
              <w:t>n/a</w:t>
            </w:r>
          </w:p>
        </w:tc>
      </w:tr>
      <w:tr>
        <w:tc>
          <w:tcPr>
            <w:tcW w:type="dxa" w:w="1872"/>
          </w:tcPr>
          <w:p>
            <w:r/>
            <w:r>
              <w:rPr>
                <w:sz w:val="18"/>
              </w:rPr>
              <w:t>Disparate impact ratio</w:t>
            </w:r>
          </w:p>
        </w:tc>
        <w:tc>
          <w:tcPr>
            <w:tcW w:type="dxa" w:w="1872"/>
          </w:tcPr>
          <w:p>
            <w:r/>
            <w:r>
              <w:rPr>
                <w:sz w:val="18"/>
              </w:rPr>
              <w:t>1.039</w:t>
            </w:r>
          </w:p>
        </w:tc>
        <w:tc>
          <w:tcPr>
            <w:tcW w:type="dxa" w:w="1872"/>
          </w:tcPr>
          <w:p>
            <w:r/>
            <w:r>
              <w:rPr>
                <w:sz w:val="18"/>
              </w:rPr>
              <w:t>(0.963, 1.122)</w:t>
            </w:r>
          </w:p>
        </w:tc>
        <w:tc>
          <w:tcPr>
            <w:tcW w:type="dxa" w:w="1872"/>
          </w:tcPr>
          <w:p>
            <w:r/>
            <w:r>
              <w:rPr>
                <w:sz w:val="18"/>
              </w:rPr>
              <w:t>0.80–1.25</w:t>
            </w:r>
          </w:p>
        </w:tc>
        <w:tc>
          <w:tcPr>
            <w:tcW w:type="dxa" w:w="1872"/>
          </w:tcPr>
          <w:p>
            <w:r/>
            <w:r>
              <w:rPr>
                <w:sz w:val="18"/>
              </w:rPr>
              <w:t>True</w:t>
            </w:r>
          </w:p>
        </w:tc>
      </w:tr>
      <w:tr>
        <w:tc>
          <w:tcPr>
            <w:tcW w:type="dxa" w:w="1872"/>
          </w:tcPr>
          <w:p>
            <w:r/>
            <w:r>
              <w:rPr>
                <w:sz w:val="18"/>
              </w:rPr>
              <w:t>TPR difference</w:t>
            </w:r>
          </w:p>
        </w:tc>
        <w:tc>
          <w:tcPr>
            <w:tcW w:type="dxa" w:w="1872"/>
          </w:tcPr>
          <w:p>
            <w:r/>
            <w:r>
              <w:rPr>
                <w:sz w:val="18"/>
              </w:rPr>
              <w:t>-0.012</w:t>
            </w:r>
          </w:p>
        </w:tc>
        <w:tc>
          <w:tcPr>
            <w:tcW w:type="dxa" w:w="1872"/>
          </w:tcPr>
          <w:p>
            <w:r/>
            <w:r>
              <w:rPr>
                <w:sz w:val="18"/>
              </w:rPr>
              <w:t>(-0.070, +0.048)</w:t>
            </w:r>
          </w:p>
        </w:tc>
        <w:tc>
          <w:tcPr>
            <w:tcW w:type="dxa" w:w="1872"/>
          </w:tcPr>
          <w:p>
            <w:r/>
            <w:r>
              <w:rPr>
                <w:sz w:val="18"/>
              </w:rPr>
              <w:t>n/a</w:t>
            </w:r>
          </w:p>
        </w:tc>
        <w:tc>
          <w:tcPr>
            <w:tcW w:type="dxa" w:w="1872"/>
          </w:tcPr>
          <w:p>
            <w:r/>
            <w:r>
              <w:rPr>
                <w:sz w:val="18"/>
              </w:rPr>
              <w:t>n/a</w:t>
            </w:r>
          </w:p>
        </w:tc>
      </w:tr>
      <w:tr>
        <w:tc>
          <w:tcPr>
            <w:tcW w:type="dxa" w:w="1872"/>
          </w:tcPr>
          <w:p>
            <w:r/>
            <w:r>
              <w:rPr>
                <w:sz w:val="18"/>
              </w:rPr>
              <w:t>FPR difference</w:t>
            </w:r>
          </w:p>
        </w:tc>
        <w:tc>
          <w:tcPr>
            <w:tcW w:type="dxa" w:w="1872"/>
          </w:tcPr>
          <w:p>
            <w:r/>
            <w:r>
              <w:rPr>
                <w:sz w:val="18"/>
              </w:rPr>
              <w:t>+0.075</w:t>
            </w:r>
          </w:p>
        </w:tc>
        <w:tc>
          <w:tcPr>
            <w:tcW w:type="dxa" w:w="1872"/>
          </w:tcPr>
          <w:p>
            <w:r/>
            <w:r>
              <w:rPr>
                <w:sz w:val="18"/>
              </w:rPr>
              <w:t>(+0.009, +0.145)</w:t>
            </w:r>
          </w:p>
        </w:tc>
        <w:tc>
          <w:tcPr>
            <w:tcW w:type="dxa" w:w="1872"/>
          </w:tcPr>
          <w:p>
            <w:r/>
            <w:r>
              <w:rPr>
                <w:sz w:val="18"/>
              </w:rPr>
              <w:t>n/a</w:t>
            </w:r>
          </w:p>
        </w:tc>
        <w:tc>
          <w:tcPr>
            <w:tcW w:type="dxa" w:w="1872"/>
          </w:tcPr>
          <w:p>
            <w:r/>
            <w:r>
              <w:rPr>
                <w:sz w:val="18"/>
              </w:rPr>
              <w:t>n/a</w:t>
            </w:r>
          </w:p>
        </w:tc>
      </w:tr>
      <w:tr>
        <w:tc>
          <w:tcPr>
            <w:tcW w:type="dxa" w:w="1872"/>
          </w:tcPr>
          <w:p>
            <w:r/>
            <w:r>
              <w:rPr>
                <w:sz w:val="18"/>
              </w:rPr>
              <w:t>Equalised-odds difference</w:t>
            </w:r>
          </w:p>
        </w:tc>
        <w:tc>
          <w:tcPr>
            <w:tcW w:type="dxa" w:w="1872"/>
          </w:tcPr>
          <w:p>
            <w:r/>
            <w:r>
              <w:rPr>
                <w:sz w:val="18"/>
              </w:rPr>
              <w:t>0.075</w:t>
            </w:r>
          </w:p>
        </w:tc>
        <w:tc>
          <w:tcPr>
            <w:tcW w:type="dxa" w:w="1872"/>
          </w:tcPr>
          <w:p>
            <w:r/>
            <w:r>
              <w:rPr>
                <w:sz w:val="18"/>
              </w:rPr>
              <w:t>derived from the two rows above</w:t>
            </w:r>
          </w:p>
        </w:tc>
        <w:tc>
          <w:tcPr>
            <w:tcW w:type="dxa" w:w="1872"/>
          </w:tcPr>
          <w:p>
            <w:r/>
            <w:r>
              <w:rPr>
                <w:sz w:val="18"/>
              </w:rPr>
              <w:t>n/a</w:t>
            </w:r>
          </w:p>
        </w:tc>
        <w:tc>
          <w:tcPr>
            <w:tcW w:type="dxa" w:w="1872"/>
          </w:tcPr>
          <w:p>
            <w:r/>
            <w:r>
              <w:rPr>
                <w:sz w:val="18"/>
              </w:rPr>
              <w:t>n/a</w:t>
            </w:r>
          </w:p>
        </w:tc>
      </w:tr>
      <w:tr>
        <w:tc>
          <w:tcPr>
            <w:tcW w:type="dxa" w:w="1872"/>
          </w:tcPr>
          <w:p>
            <w:r/>
            <w:r>
              <w:rPr>
                <w:sz w:val="18"/>
              </w:rPr>
              <w:t>TPR vs overall</w:t>
            </w:r>
          </w:p>
        </w:tc>
        <w:tc>
          <w:tcPr>
            <w:tcW w:type="dxa" w:w="1872"/>
          </w:tcPr>
          <w:p>
            <w:r/>
            <w:r>
              <w:rPr>
                <w:sz w:val="18"/>
              </w:rPr>
              <w:t>0.988</w:t>
            </w:r>
          </w:p>
        </w:tc>
        <w:tc>
          <w:tcPr>
            <w:tcW w:type="dxa" w:w="1872"/>
          </w:tcPr>
          <w:p>
            <w:r/>
            <w:r>
              <w:rPr>
                <w:sz w:val="18"/>
              </w:rPr>
              <w:t>n/a</w:t>
            </w:r>
          </w:p>
        </w:tc>
        <w:tc>
          <w:tcPr>
            <w:tcW w:type="dxa" w:w="1872"/>
          </w:tcPr>
          <w:p>
            <w:r/>
            <w:r>
              <w:rPr>
                <w:sz w:val="18"/>
              </w:rPr>
              <w:t>0.90–1.10</w:t>
            </w:r>
          </w:p>
        </w:tc>
        <w:tc>
          <w:tcPr>
            <w:tcW w:type="dxa" w:w="1872"/>
          </w:tcPr>
          <w:p>
            <w:r/>
            <w:r>
              <w:rPr>
                <w:sz w:val="18"/>
              </w:rPr>
              <w:t>True</w:t>
            </w:r>
          </w:p>
        </w:tc>
      </w:tr>
      <w:tr>
        <w:tc>
          <w:tcPr>
            <w:tcW w:type="dxa" w:w="1872"/>
          </w:tcPr>
          <w:p>
            <w:r/>
            <w:r>
              <w:rPr>
                <w:sz w:val="18"/>
              </w:rPr>
              <w:t>FPR vs overall</w:t>
            </w:r>
          </w:p>
        </w:tc>
        <w:tc>
          <w:tcPr>
            <w:tcW w:type="dxa" w:w="1872"/>
          </w:tcPr>
          <w:p>
            <w:r/>
            <w:r>
              <w:rPr>
                <w:sz w:val="18"/>
              </w:rPr>
              <w:t>1.127</w:t>
            </w:r>
          </w:p>
        </w:tc>
        <w:tc>
          <w:tcPr>
            <w:tcW w:type="dxa" w:w="1872"/>
          </w:tcPr>
          <w:p>
            <w:r/>
            <w:r>
              <w:rPr>
                <w:sz w:val="18"/>
              </w:rPr>
              <w:t>n/a</w:t>
            </w:r>
          </w:p>
        </w:tc>
        <w:tc>
          <w:tcPr>
            <w:tcW w:type="dxa" w:w="1872"/>
          </w:tcPr>
          <w:p>
            <w:r/>
            <w:r>
              <w:rPr>
                <w:sz w:val="18"/>
              </w:rPr>
              <w:t>0.90–1.10</w:t>
            </w:r>
          </w:p>
        </w:tc>
        <w:tc>
          <w:tcPr>
            <w:tcW w:type="dxa" w:w="1872"/>
          </w:tcPr>
          <w:p>
            <w:r/>
            <w:r>
              <w:rPr>
                <w:b/>
                <w:sz w:val="18"/>
              </w:rPr>
              <w:t>False</w:t>
            </w:r>
          </w:p>
        </w:tc>
      </w:tr>
    </w:tbl>
    <w:p>
      <w:r>
        <w:rPr>
          <w:i/>
          <w:sz w:val="19"/>
        </w:rPr>
        <w:t>Table 3. Fairness metrics on test. Calibration (Brier) by group: UK 0.192, Non-UK 0.205.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03520" cy="1803197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nal_test_fairness_groups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180319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9"/>
        </w:rPr>
        <w:t>Figure 1. Selection rate, TPR and FPR by group on test with 95% intervals.</w:t>
      </w:r>
    </w:p>
    <w:p>
      <w:r>
        <w:rPr>
          <w:b/>
        </w:rPr>
        <w:t>Findings.</w:t>
      </w:r>
      <w:r>
        <w:t xml:space="preserve"> Selection rates and recall are comparable (DI 1.039 is inside the band; the DPD and TPR intervals include zero). The </w:t>
      </w:r>
      <w:r>
        <w:rPr>
          <w:b/>
        </w:rPr>
        <w:t>non-UK false positive rate is 0.075 higher</w:t>
      </w:r>
      <w:r>
        <w:t>; its interval (0.009 to 0.145) just excludes zero and its ratio to the overall rate (1.127) is outside the Module 1 band. Because the interval is wide (532 non-UK rows) the size of the gap is uncertain; the finding is a flag for review, not proof of unfair treatment. The non-UK group also has a different base churn rate (0.378 vs 0.422), and when base rates differ, a classifier that is not perfect generally cannot equalise selection rates and error rates at the same time.</w:t>
      </w:r>
    </w:p>
    <w:p>
      <w:r>
        <w:rPr>
          <w:b/>
        </w:rPr>
        <w:t>Direction of harm.</w:t>
      </w:r>
      <w:r>
        <w:t xml:space="preserve"> A flag triggers a retention offer, so a false positive means an unnecessary offer. Whether that is a benefit, a cost to the company or a crowding-out of other customers depends on how Marketing uses the list. This is an open question for the business, not something the model can settle.</w:t>
      </w:r>
    </w:p>
    <w:p>
      <w:pPr>
        <w:pStyle w:val="Heading2"/>
      </w:pPr>
      <w:r>
        <w:t>5. Mitigation experiments</w:t>
      </w:r>
    </w:p>
    <w:p>
      <w:r>
        <w:t xml:space="preserve">Two mitigations were run </w:t>
      </w:r>
      <w:r>
        <w:rPr>
          <w:b/>
        </w:rPr>
        <w:t>after</w:t>
      </w:r>
      <w:r>
        <w:t xml:space="preserve"> the validation gate passed, as exploratory work. Both were fitted on training/validation only. Their test results were computed for transparency and </w:t>
      </w:r>
      <w:r>
        <w:rPr>
          <w:b/>
        </w:rPr>
        <w:t>were not used to choose a model</w:t>
      </w:r>
      <w:r>
        <w:t xml:space="preserve">; they are, however, further looks at the test period and are counted in the disclosure in the Validation Report (§7). </w:t>
      </w:r>
      <w:r>
        <w:rPr>
          <w:b/>
        </w:rPr>
        <w:t>Neither was adopted.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337"/>
        <w:gridCol w:w="1337"/>
        <w:gridCol w:w="1337"/>
        <w:gridCol w:w="1337"/>
        <w:gridCol w:w="1337"/>
        <w:gridCol w:w="1337"/>
        <w:gridCol w:w="1337"/>
      </w:tblGrid>
      <w:tr>
        <w:tc>
          <w:tcPr>
            <w:tcW w:type="dxa" w:w="1337"/>
          </w:tcPr>
          <w:p>
            <w:r>
              <w:rPr>
                <w:b/>
              </w:rPr>
            </w:r>
            <w:r>
              <w:rPr>
                <w:b/>
                <w:sz w:val="18"/>
              </w:rPr>
              <w:t>Approach</w:t>
            </w:r>
          </w:p>
        </w:tc>
        <w:tc>
          <w:tcPr>
            <w:tcW w:type="dxa" w:w="1337"/>
          </w:tcPr>
          <w:p>
            <w:r>
              <w:rPr>
                <w:b/>
              </w:rPr>
            </w:r>
            <w:r>
              <w:rPr>
                <w:b/>
                <w:sz w:val="18"/>
              </w:rPr>
              <w:t>Test recall</w:t>
            </w:r>
          </w:p>
        </w:tc>
        <w:tc>
          <w:tcPr>
            <w:tcW w:type="dxa" w:w="1337"/>
          </w:tcPr>
          <w:p>
            <w:r>
              <w:rPr>
                <w:b/>
              </w:rPr>
            </w:r>
            <w:r>
              <w:rPr>
                <w:b/>
                <w:sz w:val="18"/>
              </w:rPr>
              <w:t>Test flag rate</w:t>
            </w:r>
          </w:p>
        </w:tc>
        <w:tc>
          <w:tcPr>
            <w:tcW w:type="dxa" w:w="1337"/>
          </w:tcPr>
          <w:p>
            <w:r>
              <w:rPr>
                <w:b/>
              </w:rPr>
            </w:r>
            <w:r>
              <w:rPr>
                <w:b/>
                <w:sz w:val="18"/>
              </w:rPr>
              <w:t>Test DI</w:t>
            </w:r>
          </w:p>
        </w:tc>
        <w:tc>
          <w:tcPr>
            <w:tcW w:type="dxa" w:w="1337"/>
          </w:tcPr>
          <w:p>
            <w:r>
              <w:rPr>
                <w:b/>
              </w:rPr>
            </w:r>
            <w:r>
              <w:rPr>
                <w:b/>
                <w:sz w:val="18"/>
              </w:rPr>
              <w:t>Test FPR vs overall</w:t>
            </w:r>
          </w:p>
        </w:tc>
        <w:tc>
          <w:tcPr>
            <w:tcW w:type="dxa" w:w="1337"/>
          </w:tcPr>
          <w:p>
            <w:r>
              <w:rPr>
                <w:b/>
              </w:rPr>
            </w:r>
            <w:r>
              <w:rPr>
                <w:b/>
                <w:sz w:val="18"/>
              </w:rPr>
              <w:t>Test EO difference</w:t>
            </w:r>
          </w:p>
        </w:tc>
        <w:tc>
          <w:tcPr>
            <w:tcW w:type="dxa" w:w="1337"/>
          </w:tcPr>
          <w:p>
            <w:r>
              <w:rPr>
                <w:b/>
              </w:rPr>
            </w:r>
            <w:r>
              <w:rPr>
                <w:b/>
                <w:sz w:val="18"/>
              </w:rPr>
              <w:t>Test AUC</w:t>
            </w:r>
          </w:p>
        </w:tc>
      </w:tr>
      <w:tr>
        <w:tc>
          <w:tcPr>
            <w:tcW w:type="dxa" w:w="1337"/>
          </w:tcPr>
          <w:p>
            <w:r/>
            <w:r>
              <w:rPr>
                <w:sz w:val="18"/>
              </w:rPr>
              <w:t>M0 unmitigated (deployed)</w:t>
            </w:r>
          </w:p>
        </w:tc>
        <w:tc>
          <w:tcPr>
            <w:tcW w:type="dxa" w:w="1337"/>
          </w:tcPr>
          <w:p>
            <w:r/>
            <w:r>
              <w:rPr>
                <w:sz w:val="18"/>
              </w:rPr>
              <w:t>0.881</w:t>
            </w:r>
          </w:p>
        </w:tc>
        <w:tc>
          <w:tcPr>
            <w:tcW w:type="dxa" w:w="1337"/>
          </w:tcPr>
          <w:p>
            <w:r/>
            <w:r>
              <w:rPr>
                <w:sz w:val="18"/>
              </w:rPr>
              <w:t>0.676</w:t>
            </w:r>
          </w:p>
        </w:tc>
        <w:tc>
          <w:tcPr>
            <w:tcW w:type="dxa" w:w="1337"/>
          </w:tcPr>
          <w:p>
            <w:r/>
            <w:r>
              <w:rPr>
                <w:sz w:val="18"/>
              </w:rPr>
              <w:t>1.039</w:t>
            </w:r>
          </w:p>
        </w:tc>
        <w:tc>
          <w:tcPr>
            <w:tcW w:type="dxa" w:w="1337"/>
          </w:tcPr>
          <w:p>
            <w:r/>
            <w:r>
              <w:rPr>
                <w:sz w:val="18"/>
              </w:rPr>
              <w:t>1.127</w:t>
            </w:r>
          </w:p>
        </w:tc>
        <w:tc>
          <w:tcPr>
            <w:tcW w:type="dxa" w:w="1337"/>
          </w:tcPr>
          <w:p>
            <w:r/>
            <w:r>
              <w:rPr>
                <w:sz w:val="18"/>
              </w:rPr>
              <w:t>0.075</w:t>
            </w:r>
          </w:p>
        </w:tc>
        <w:tc>
          <w:tcPr>
            <w:tcW w:type="dxa" w:w="1337"/>
          </w:tcPr>
          <w:p>
            <w:r/>
            <w:r>
              <w:rPr>
                <w:sz w:val="18"/>
              </w:rPr>
              <w:t>0.765</w:t>
            </w:r>
          </w:p>
        </w:tc>
      </w:tr>
      <w:tr>
        <w:tc>
          <w:tcPr>
            <w:tcW w:type="dxa" w:w="1337"/>
          </w:tcPr>
          <w:p>
            <w:r/>
            <w:r>
              <w:rPr>
                <w:sz w:val="18"/>
              </w:rPr>
              <w:t>M1 equalised-odds thresholds</w:t>
            </w:r>
          </w:p>
        </w:tc>
        <w:tc>
          <w:tcPr>
            <w:tcW w:type="dxa" w:w="1337"/>
          </w:tcPr>
          <w:p>
            <w:r/>
            <w:r>
              <w:rPr>
                <w:sz w:val="18"/>
              </w:rPr>
              <w:t>0.755</w:t>
            </w:r>
          </w:p>
        </w:tc>
        <w:tc>
          <w:tcPr>
            <w:tcW w:type="dxa" w:w="1337"/>
          </w:tcPr>
          <w:p>
            <w:r/>
            <w:r>
              <w:rPr>
                <w:sz w:val="18"/>
              </w:rPr>
              <w:t>0.525</w:t>
            </w:r>
          </w:p>
        </w:tc>
        <w:tc>
          <w:tcPr>
            <w:tcW w:type="dxa" w:w="1337"/>
          </w:tcPr>
          <w:p>
            <w:r/>
            <w:r>
              <w:rPr>
                <w:sz w:val="18"/>
              </w:rPr>
              <w:t>1.049</w:t>
            </w:r>
          </w:p>
        </w:tc>
        <w:tc>
          <w:tcPr>
            <w:tcW w:type="dxa" w:w="1337"/>
          </w:tcPr>
          <w:p>
            <w:r/>
            <w:r>
              <w:rPr>
                <w:sz w:val="18"/>
              </w:rPr>
              <w:t>1.199</w:t>
            </w:r>
          </w:p>
        </w:tc>
        <w:tc>
          <w:tcPr>
            <w:tcW w:type="dxa" w:w="1337"/>
          </w:tcPr>
          <w:p>
            <w:r/>
            <w:r>
              <w:rPr>
                <w:sz w:val="18"/>
              </w:rPr>
              <w:t>0.080</w:t>
            </w:r>
          </w:p>
        </w:tc>
        <w:tc>
          <w:tcPr>
            <w:tcW w:type="dxa" w:w="1337"/>
          </w:tcPr>
          <w:p>
            <w:r/>
            <w:r>
              <w:rPr>
                <w:sz w:val="18"/>
              </w:rPr>
              <w:t>n/a (group-specific thresholds)</w:t>
            </w:r>
          </w:p>
        </w:tc>
      </w:tr>
      <w:tr>
        <w:tc>
          <w:tcPr>
            <w:tcW w:type="dxa" w:w="1337"/>
          </w:tcPr>
          <w:p>
            <w:r/>
            <w:r>
              <w:rPr>
                <w:sz w:val="18"/>
              </w:rPr>
              <w:t>M2 reweighing + refit</w:t>
            </w:r>
          </w:p>
        </w:tc>
        <w:tc>
          <w:tcPr>
            <w:tcW w:type="dxa" w:w="1337"/>
          </w:tcPr>
          <w:p>
            <w:r/>
            <w:r>
              <w:rPr>
                <w:sz w:val="18"/>
              </w:rPr>
              <w:t>0.891</w:t>
            </w:r>
          </w:p>
        </w:tc>
        <w:tc>
          <w:tcPr>
            <w:tcW w:type="dxa" w:w="1337"/>
          </w:tcPr>
          <w:p>
            <w:r/>
            <w:r>
              <w:rPr>
                <w:sz w:val="18"/>
              </w:rPr>
              <w:t>0.688</w:t>
            </w:r>
          </w:p>
        </w:tc>
        <w:tc>
          <w:tcPr>
            <w:tcW w:type="dxa" w:w="1337"/>
          </w:tcPr>
          <w:p>
            <w:r/>
            <w:r>
              <w:rPr>
                <w:sz w:val="18"/>
              </w:rPr>
              <w:t>1.057</w:t>
            </w:r>
          </w:p>
        </w:tc>
        <w:tc>
          <w:tcPr>
            <w:tcW w:type="dxa" w:w="1337"/>
          </w:tcPr>
          <w:p>
            <w:r/>
            <w:r>
              <w:rPr>
                <w:sz w:val="18"/>
              </w:rPr>
              <w:t>1.142</w:t>
            </w:r>
          </w:p>
        </w:tc>
        <w:tc>
          <w:tcPr>
            <w:tcW w:type="dxa" w:w="1337"/>
          </w:tcPr>
          <w:p>
            <w:r/>
            <w:r>
              <w:rPr>
                <w:sz w:val="18"/>
              </w:rPr>
              <w:t>0.086</w:t>
            </w:r>
          </w:p>
        </w:tc>
        <w:tc>
          <w:tcPr>
            <w:tcW w:type="dxa" w:w="1337"/>
          </w:tcPr>
          <w:p>
            <w:r/>
            <w:r>
              <w:rPr>
                <w:sz w:val="18"/>
              </w:rPr>
              <w:t>0.765</w:t>
            </w:r>
          </w:p>
        </w:tc>
      </w:tr>
    </w:tbl>
    <w:p>
      <w:r>
        <w:rPr>
          <w:i/>
          <w:sz w:val="19"/>
        </w:rPr>
        <w:t>Table 4. Before/after on test (exploratory). M1 thresholds were fitted on validation, so validation figures for M1 are in-sample and omitted here.</w:t>
      </w:r>
    </w:p>
    <w:p>
      <w:r>
        <w:t xml:space="preserve">Neither approach brought the FPR ratio inside the band (M1 1.199, M2 1.142 vs 1.127 unmitigated), and M1 reduced recall from 0.881 to 0.755 by using group-specific thresholds, which also raises its own governance questions. Because the validation gate passed and the mitigations did not help on test, the deployed model is unmitigated. </w:t>
      </w:r>
      <w:r>
        <w:rPr>
          <w:b/>
        </w:rPr>
        <w:t>The residual disparity is disclosed and carried into the monitoring plan.</w:t>
      </w:r>
      <w:r>
        <w:t xml:space="preserve"> Choosing between M0, M1 and M2 on the test results would be tuning on test and was not done.</w:t>
      </w:r>
    </w:p>
    <w:p>
      <w:pPr>
        <w:pStyle w:val="Heading2"/>
      </w:pPr>
      <w:r>
        <w:t>6. Per-country detail (informational)</w:t>
      </w:r>
    </w:p>
    <w:p>
      <w:r>
        <w:t>Only groups with at least 100 rows are interpreted. Others are shown to document coverage, not to support conclusions.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560"/>
        <w:gridCol w:w="1560"/>
        <w:gridCol w:w="1560"/>
        <w:gridCol w:w="1560"/>
        <w:gridCol w:w="1560"/>
        <w:gridCol w:w="1560"/>
      </w:tblGrid>
      <w:tr>
        <w:tc>
          <w:tcPr>
            <w:tcW w:type="dxa" w:w="1560"/>
          </w:tcPr>
          <w:p>
            <w:r>
              <w:rPr>
                <w:b/>
              </w:rPr>
            </w:r>
            <w:r>
              <w:rPr>
                <w:b/>
                <w:sz w:val="18"/>
              </w:rPr>
              <w:t>Country</w:t>
            </w:r>
          </w:p>
        </w:tc>
        <w:tc>
          <w:tcPr>
            <w:tcW w:type="dxa" w:w="1560"/>
          </w:tcPr>
          <w:p>
            <w:r>
              <w:rPr>
                <w:b/>
              </w:rPr>
            </w:r>
            <w:r>
              <w:rPr>
                <w:b/>
                <w:sz w:val="18"/>
              </w:rPr>
              <w:t>Rows</w:t>
            </w:r>
          </w:p>
        </w:tc>
        <w:tc>
          <w:tcPr>
            <w:tcW w:type="dxa" w:w="1560"/>
          </w:tcPr>
          <w:p>
            <w:r>
              <w:rPr>
                <w:b/>
              </w:rPr>
            </w:r>
            <w:r>
              <w:rPr>
                <w:b/>
                <w:sz w:val="18"/>
              </w:rPr>
              <w:t>Selection rate</w:t>
            </w:r>
          </w:p>
        </w:tc>
        <w:tc>
          <w:tcPr>
            <w:tcW w:type="dxa" w:w="1560"/>
          </w:tcPr>
          <w:p>
            <w:r>
              <w:rPr>
                <w:b/>
              </w:rPr>
            </w:r>
            <w:r>
              <w:rPr>
                <w:b/>
                <w:sz w:val="18"/>
              </w:rPr>
              <w:t>TPR</w:t>
            </w:r>
          </w:p>
        </w:tc>
        <w:tc>
          <w:tcPr>
            <w:tcW w:type="dxa" w:w="1560"/>
          </w:tcPr>
          <w:p>
            <w:r>
              <w:rPr>
                <w:b/>
              </w:rPr>
            </w:r>
            <w:r>
              <w:rPr>
                <w:b/>
                <w:sz w:val="18"/>
              </w:rPr>
              <w:t>FPR</w:t>
            </w:r>
          </w:p>
        </w:tc>
        <w:tc>
          <w:tcPr>
            <w:tcW w:type="dxa" w:w="1560"/>
          </w:tcPr>
          <w:p>
            <w:r>
              <w:rPr>
                <w:b/>
              </w:rPr>
            </w:r>
            <w:r>
              <w:rPr>
                <w:b/>
                <w:sz w:val="18"/>
              </w:rPr>
              <w:t>Sufficient n</w:t>
            </w:r>
          </w:p>
        </w:tc>
      </w:tr>
      <w:tr>
        <w:tc>
          <w:tcPr>
            <w:tcW w:type="dxa" w:w="1560"/>
          </w:tcPr>
          <w:p>
            <w:r/>
            <w:r>
              <w:rPr>
                <w:sz w:val="18"/>
              </w:rPr>
              <w:t>United Kingdom</w:t>
            </w:r>
          </w:p>
        </w:tc>
        <w:tc>
          <w:tcPr>
            <w:tcW w:type="dxa" w:w="1560"/>
          </w:tcPr>
          <w:p>
            <w:r/>
            <w:r>
              <w:rPr>
                <w:sz w:val="18"/>
              </w:rPr>
              <w:t>5002</w:t>
            </w:r>
          </w:p>
        </w:tc>
        <w:tc>
          <w:tcPr>
            <w:tcW w:type="dxa" w:w="1560"/>
          </w:tcPr>
          <w:p>
            <w:r/>
            <w:r>
              <w:rPr>
                <w:sz w:val="18"/>
              </w:rPr>
              <w:t>0.673</w:t>
            </w:r>
          </w:p>
        </w:tc>
        <w:tc>
          <w:tcPr>
            <w:tcW w:type="dxa" w:w="1560"/>
          </w:tcPr>
          <w:p>
            <w:r/>
            <w:r>
              <w:rPr>
                <w:sz w:val="18"/>
              </w:rPr>
              <w:t>0.882</w:t>
            </w:r>
          </w:p>
        </w:tc>
        <w:tc>
          <w:tcPr>
            <w:tcW w:type="dxa" w:w="1560"/>
          </w:tcPr>
          <w:p>
            <w:r/>
            <w:r>
              <w:rPr>
                <w:sz w:val="18"/>
              </w:rPr>
              <w:t>0.520</w:t>
            </w:r>
          </w:p>
        </w:tc>
        <w:tc>
          <w:tcPr>
            <w:tcW w:type="dxa" w:w="1560"/>
          </w:tcPr>
          <w:p>
            <w:r/>
            <w:r>
              <w:rPr>
                <w:sz w:val="18"/>
              </w:rPr>
              <w:t>True</w:t>
            </w:r>
          </w:p>
        </w:tc>
      </w:tr>
      <w:tr>
        <w:tc>
          <w:tcPr>
            <w:tcW w:type="dxa" w:w="1560"/>
          </w:tcPr>
          <w:p>
            <w:r/>
            <w:r>
              <w:rPr>
                <w:sz w:val="18"/>
              </w:rPr>
              <w:t>Germany</w:t>
            </w:r>
          </w:p>
        </w:tc>
        <w:tc>
          <w:tcPr>
            <w:tcW w:type="dxa" w:w="1560"/>
          </w:tcPr>
          <w:p>
            <w:r/>
            <w:r>
              <w:rPr>
                <w:sz w:val="18"/>
              </w:rPr>
              <w:t>123</w:t>
            </w:r>
          </w:p>
        </w:tc>
        <w:tc>
          <w:tcPr>
            <w:tcW w:type="dxa" w:w="1560"/>
          </w:tcPr>
          <w:p>
            <w:r/>
            <w:r>
              <w:rPr>
                <w:sz w:val="18"/>
              </w:rPr>
              <w:t>0.618</w:t>
            </w:r>
          </w:p>
        </w:tc>
        <w:tc>
          <w:tcPr>
            <w:tcW w:type="dxa" w:w="1560"/>
          </w:tcPr>
          <w:p>
            <w:r/>
            <w:r>
              <w:rPr>
                <w:sz w:val="18"/>
              </w:rPr>
              <w:t>0.921</w:t>
            </w:r>
          </w:p>
        </w:tc>
        <w:tc>
          <w:tcPr>
            <w:tcW w:type="dxa" w:w="1560"/>
          </w:tcPr>
          <w:p>
            <w:r/>
            <w:r>
              <w:rPr>
                <w:sz w:val="18"/>
              </w:rPr>
              <w:t>0.482</w:t>
            </w:r>
          </w:p>
        </w:tc>
        <w:tc>
          <w:tcPr>
            <w:tcW w:type="dxa" w:w="1560"/>
          </w:tcPr>
          <w:p>
            <w:r/>
            <w:r>
              <w:rPr>
                <w:sz w:val="18"/>
              </w:rPr>
              <w:t>True</w:t>
            </w:r>
          </w:p>
        </w:tc>
      </w:tr>
      <w:tr>
        <w:tc>
          <w:tcPr>
            <w:tcW w:type="dxa" w:w="1560"/>
          </w:tcPr>
          <w:p>
            <w:r/>
            <w:r>
              <w:rPr>
                <w:sz w:val="18"/>
              </w:rPr>
              <w:t>France</w:t>
            </w:r>
          </w:p>
        </w:tc>
        <w:tc>
          <w:tcPr>
            <w:tcW w:type="dxa" w:w="1560"/>
          </w:tcPr>
          <w:p>
            <w:r/>
            <w:r>
              <w:rPr>
                <w:sz w:val="18"/>
              </w:rPr>
              <w:t>108</w:t>
            </w:r>
          </w:p>
        </w:tc>
        <w:tc>
          <w:tcPr>
            <w:tcW w:type="dxa" w:w="1560"/>
          </w:tcPr>
          <w:p>
            <w:r/>
            <w:r>
              <w:rPr>
                <w:sz w:val="18"/>
              </w:rPr>
              <w:t>0.639</w:t>
            </w:r>
          </w:p>
        </w:tc>
        <w:tc>
          <w:tcPr>
            <w:tcW w:type="dxa" w:w="1560"/>
          </w:tcPr>
          <w:p>
            <w:r/>
            <w:r>
              <w:rPr>
                <w:sz w:val="18"/>
              </w:rPr>
              <w:t>0.852</w:t>
            </w:r>
          </w:p>
        </w:tc>
        <w:tc>
          <w:tcPr>
            <w:tcW w:type="dxa" w:w="1560"/>
          </w:tcPr>
          <w:p>
            <w:r/>
            <w:r>
              <w:rPr>
                <w:sz w:val="18"/>
              </w:rPr>
              <w:t>0.568</w:t>
            </w:r>
          </w:p>
        </w:tc>
        <w:tc>
          <w:tcPr>
            <w:tcW w:type="dxa" w:w="1560"/>
          </w:tcPr>
          <w:p>
            <w:r/>
            <w:r>
              <w:rPr>
                <w:sz w:val="18"/>
              </w:rPr>
              <w:t>False</w:t>
            </w:r>
          </w:p>
        </w:tc>
      </w:tr>
      <w:tr>
        <w:tc>
          <w:tcPr>
            <w:tcW w:type="dxa" w:w="1560"/>
          </w:tcPr>
          <w:p>
            <w:r/>
            <w:r>
              <w:rPr>
                <w:sz w:val="18"/>
              </w:rPr>
              <w:t>Belgium</w:t>
            </w:r>
          </w:p>
        </w:tc>
        <w:tc>
          <w:tcPr>
            <w:tcW w:type="dxa" w:w="1560"/>
          </w:tcPr>
          <w:p>
            <w:r/>
            <w:r>
              <w:rPr>
                <w:sz w:val="18"/>
              </w:rPr>
              <w:t>40</w:t>
            </w:r>
          </w:p>
        </w:tc>
        <w:tc>
          <w:tcPr>
            <w:tcW w:type="dxa" w:w="1560"/>
          </w:tcPr>
          <w:p>
            <w:r/>
            <w:r>
              <w:rPr>
                <w:sz w:val="18"/>
              </w:rPr>
              <w:t>0.650</w:t>
            </w:r>
          </w:p>
        </w:tc>
        <w:tc>
          <w:tcPr>
            <w:tcW w:type="dxa" w:w="1560"/>
          </w:tcPr>
          <w:p>
            <w:r/>
            <w:r>
              <w:rPr>
                <w:sz w:val="18"/>
              </w:rPr>
              <w:t>0.818</w:t>
            </w:r>
          </w:p>
        </w:tc>
        <w:tc>
          <w:tcPr>
            <w:tcW w:type="dxa" w:w="1560"/>
          </w:tcPr>
          <w:p>
            <w:r/>
            <w:r>
              <w:rPr>
                <w:sz w:val="18"/>
              </w:rPr>
              <w:t>0.586</w:t>
            </w:r>
          </w:p>
        </w:tc>
        <w:tc>
          <w:tcPr>
            <w:tcW w:type="dxa" w:w="1560"/>
          </w:tcPr>
          <w:p>
            <w:r/>
            <w:r>
              <w:rPr>
                <w:sz w:val="18"/>
              </w:rPr>
              <w:t>False</w:t>
            </w:r>
          </w:p>
        </w:tc>
      </w:tr>
      <w:tr>
        <w:tc>
          <w:tcPr>
            <w:tcW w:type="dxa" w:w="1560"/>
          </w:tcPr>
          <w:p>
            <w:r/>
            <w:r>
              <w:rPr>
                <w:sz w:val="18"/>
              </w:rPr>
              <w:t>Spain</w:t>
            </w:r>
          </w:p>
        </w:tc>
        <w:tc>
          <w:tcPr>
            <w:tcW w:type="dxa" w:w="1560"/>
          </w:tcPr>
          <w:p>
            <w:r/>
            <w:r>
              <w:rPr>
                <w:sz w:val="18"/>
              </w:rPr>
              <w:t>38</w:t>
            </w:r>
          </w:p>
        </w:tc>
        <w:tc>
          <w:tcPr>
            <w:tcW w:type="dxa" w:w="1560"/>
          </w:tcPr>
          <w:p>
            <w:r/>
            <w:r>
              <w:rPr>
                <w:sz w:val="18"/>
              </w:rPr>
              <w:t>0.816</w:t>
            </w:r>
          </w:p>
        </w:tc>
        <w:tc>
          <w:tcPr>
            <w:tcW w:type="dxa" w:w="1560"/>
          </w:tcPr>
          <w:p>
            <w:r/>
            <w:r>
              <w:rPr>
                <w:sz w:val="18"/>
              </w:rPr>
              <w:t>0.941</w:t>
            </w:r>
          </w:p>
        </w:tc>
        <w:tc>
          <w:tcPr>
            <w:tcW w:type="dxa" w:w="1560"/>
          </w:tcPr>
          <w:p>
            <w:r/>
            <w:r>
              <w:rPr>
                <w:sz w:val="18"/>
              </w:rPr>
              <w:t>0.714</w:t>
            </w:r>
          </w:p>
        </w:tc>
        <w:tc>
          <w:tcPr>
            <w:tcW w:type="dxa" w:w="1560"/>
          </w:tcPr>
          <w:p>
            <w:r/>
            <w:r>
              <w:rPr>
                <w:sz w:val="18"/>
              </w:rPr>
              <w:t>False</w:t>
            </w:r>
          </w:p>
        </w:tc>
      </w:tr>
      <w:tr>
        <w:tc>
          <w:tcPr>
            <w:tcW w:type="dxa" w:w="1560"/>
          </w:tcPr>
          <w:p>
            <w:r/>
            <w:r>
              <w:rPr>
                <w:sz w:val="18"/>
              </w:rPr>
              <w:t>Switzerland</w:t>
            </w:r>
          </w:p>
        </w:tc>
        <w:tc>
          <w:tcPr>
            <w:tcW w:type="dxa" w:w="1560"/>
          </w:tcPr>
          <w:p>
            <w:r/>
            <w:r>
              <w:rPr>
                <w:sz w:val="18"/>
              </w:rPr>
              <w:t>26</w:t>
            </w:r>
          </w:p>
        </w:tc>
        <w:tc>
          <w:tcPr>
            <w:tcW w:type="dxa" w:w="1560"/>
          </w:tcPr>
          <w:p>
            <w:r/>
            <w:r>
              <w:rPr>
                <w:sz w:val="18"/>
              </w:rPr>
              <w:t>0.846</w:t>
            </w:r>
          </w:p>
        </w:tc>
        <w:tc>
          <w:tcPr>
            <w:tcW w:type="dxa" w:w="1560"/>
          </w:tcPr>
          <w:p>
            <w:r/>
            <w:r>
              <w:rPr>
                <w:sz w:val="18"/>
              </w:rPr>
              <w:t>1.000</w:t>
            </w:r>
          </w:p>
        </w:tc>
        <w:tc>
          <w:tcPr>
            <w:tcW w:type="dxa" w:w="1560"/>
          </w:tcPr>
          <w:p>
            <w:r/>
            <w:r>
              <w:rPr>
                <w:sz w:val="18"/>
              </w:rPr>
              <w:t>0.750</w:t>
            </w:r>
          </w:p>
        </w:tc>
        <w:tc>
          <w:tcPr>
            <w:tcW w:type="dxa" w:w="1560"/>
          </w:tcPr>
          <w:p>
            <w:r/>
            <w:r>
              <w:rPr>
                <w:sz w:val="18"/>
              </w:rPr>
              <w:t>False</w:t>
            </w:r>
          </w:p>
        </w:tc>
      </w:tr>
      <w:tr>
        <w:tc>
          <w:tcPr>
            <w:tcW w:type="dxa" w:w="1560"/>
          </w:tcPr>
          <w:p>
            <w:r/>
            <w:r>
              <w:rPr>
                <w:sz w:val="18"/>
              </w:rPr>
              <w:t>Portugal</w:t>
            </w:r>
          </w:p>
        </w:tc>
        <w:tc>
          <w:tcPr>
            <w:tcW w:type="dxa" w:w="1560"/>
          </w:tcPr>
          <w:p>
            <w:r/>
            <w:r>
              <w:rPr>
                <w:sz w:val="18"/>
              </w:rPr>
              <w:t>18</w:t>
            </w:r>
          </w:p>
        </w:tc>
        <w:tc>
          <w:tcPr>
            <w:tcW w:type="dxa" w:w="1560"/>
          </w:tcPr>
          <w:p>
            <w:r/>
            <w:r>
              <w:rPr>
                <w:sz w:val="18"/>
              </w:rPr>
              <w:t>0.611</w:t>
            </w:r>
          </w:p>
        </w:tc>
        <w:tc>
          <w:tcPr>
            <w:tcW w:type="dxa" w:w="1560"/>
          </w:tcPr>
          <w:p>
            <w:r/>
            <w:r>
              <w:rPr>
                <w:sz w:val="18"/>
              </w:rPr>
              <w:t>0.727</w:t>
            </w:r>
          </w:p>
        </w:tc>
        <w:tc>
          <w:tcPr>
            <w:tcW w:type="dxa" w:w="1560"/>
          </w:tcPr>
          <w:p>
            <w:r/>
            <w:r>
              <w:rPr>
                <w:sz w:val="18"/>
              </w:rPr>
              <w:t>0.429</w:t>
            </w:r>
          </w:p>
        </w:tc>
        <w:tc>
          <w:tcPr>
            <w:tcW w:type="dxa" w:w="1560"/>
          </w:tcPr>
          <w:p>
            <w:r/>
            <w:r>
              <w:rPr>
                <w:sz w:val="18"/>
              </w:rPr>
              <w:t>False</w:t>
            </w:r>
          </w:p>
        </w:tc>
      </w:tr>
      <w:tr>
        <w:tc>
          <w:tcPr>
            <w:tcW w:type="dxa" w:w="1560"/>
          </w:tcPr>
          <w:p>
            <w:r/>
            <w:r>
              <w:rPr>
                <w:sz w:val="18"/>
              </w:rPr>
              <w:t>Netherlands</w:t>
            </w:r>
          </w:p>
        </w:tc>
        <w:tc>
          <w:tcPr>
            <w:tcW w:type="dxa" w:w="1560"/>
          </w:tcPr>
          <w:p>
            <w:r/>
            <w:r>
              <w:rPr>
                <w:sz w:val="18"/>
              </w:rPr>
              <w:t>14</w:t>
            </w:r>
          </w:p>
        </w:tc>
        <w:tc>
          <w:tcPr>
            <w:tcW w:type="dxa" w:w="1560"/>
          </w:tcPr>
          <w:p>
            <w:r/>
            <w:r>
              <w:rPr>
                <w:sz w:val="18"/>
              </w:rPr>
              <w:t>0.643</w:t>
            </w:r>
          </w:p>
        </w:tc>
        <w:tc>
          <w:tcPr>
            <w:tcW w:type="dxa" w:w="1560"/>
          </w:tcPr>
          <w:p>
            <w:r/>
            <w:r>
              <w:rPr>
                <w:sz w:val="18"/>
              </w:rPr>
              <w:t>0.800</w:t>
            </w:r>
          </w:p>
        </w:tc>
        <w:tc>
          <w:tcPr>
            <w:tcW w:type="dxa" w:w="1560"/>
          </w:tcPr>
          <w:p>
            <w:r/>
            <w:r>
              <w:rPr>
                <w:sz w:val="18"/>
              </w:rPr>
              <w:t>0.556</w:t>
            </w:r>
          </w:p>
        </w:tc>
        <w:tc>
          <w:tcPr>
            <w:tcW w:type="dxa" w:w="1560"/>
          </w:tcPr>
          <w:p>
            <w:r/>
            <w:r>
              <w:rPr>
                <w:sz w:val="18"/>
              </w:rPr>
              <w:t>False</w:t>
            </w:r>
          </w:p>
        </w:tc>
      </w:tr>
      <w:tr>
        <w:tc>
          <w:tcPr>
            <w:tcW w:type="dxa" w:w="1560"/>
          </w:tcPr>
          <w:p>
            <w:r/>
            <w:r>
              <w:rPr>
                <w:sz w:val="18"/>
              </w:rPr>
              <w:t>Australia</w:t>
            </w:r>
          </w:p>
        </w:tc>
        <w:tc>
          <w:tcPr>
            <w:tcW w:type="dxa" w:w="1560"/>
          </w:tcPr>
          <w:p>
            <w:r/>
            <w:r>
              <w:rPr>
                <w:sz w:val="18"/>
              </w:rPr>
              <w:t>13</w:t>
            </w:r>
          </w:p>
        </w:tc>
        <w:tc>
          <w:tcPr>
            <w:tcW w:type="dxa" w:w="1560"/>
          </w:tcPr>
          <w:p>
            <w:r/>
            <w:r>
              <w:rPr>
                <w:sz w:val="18"/>
              </w:rPr>
              <w:t>0.692</w:t>
            </w:r>
          </w:p>
        </w:tc>
        <w:tc>
          <w:tcPr>
            <w:tcW w:type="dxa" w:w="1560"/>
          </w:tcPr>
          <w:p>
            <w:r/>
            <w:r>
              <w:rPr>
                <w:sz w:val="18"/>
              </w:rPr>
              <w:t>1.000</w:t>
            </w:r>
          </w:p>
        </w:tc>
        <w:tc>
          <w:tcPr>
            <w:tcW w:type="dxa" w:w="1560"/>
          </w:tcPr>
          <w:p>
            <w:r/>
            <w:r>
              <w:rPr>
                <w:sz w:val="18"/>
              </w:rPr>
              <w:t>0.636</w:t>
            </w:r>
          </w:p>
        </w:tc>
        <w:tc>
          <w:tcPr>
            <w:tcW w:type="dxa" w:w="1560"/>
          </w:tcPr>
          <w:p>
            <w:r/>
            <w:r>
              <w:rPr>
                <w:sz w:val="18"/>
              </w:rPr>
              <w:t>False</w:t>
            </w:r>
          </w:p>
        </w:tc>
      </w:tr>
      <w:tr>
        <w:tc>
          <w:tcPr>
            <w:tcW w:type="dxa" w:w="1560"/>
          </w:tcPr>
          <w:p>
            <w:r/>
            <w:r>
              <w:rPr>
                <w:sz w:val="18"/>
              </w:rPr>
              <w:t>Channel Islands</w:t>
            </w:r>
          </w:p>
        </w:tc>
        <w:tc>
          <w:tcPr>
            <w:tcW w:type="dxa" w:w="1560"/>
          </w:tcPr>
          <w:p>
            <w:r/>
            <w:r>
              <w:rPr>
                <w:sz w:val="18"/>
              </w:rPr>
              <w:t>12</w:t>
            </w:r>
          </w:p>
        </w:tc>
        <w:tc>
          <w:tcPr>
            <w:tcW w:type="dxa" w:w="1560"/>
          </w:tcPr>
          <w:p>
            <w:r/>
            <w:r>
              <w:rPr>
                <w:sz w:val="18"/>
              </w:rPr>
              <w:t>0.667</w:t>
            </w:r>
          </w:p>
        </w:tc>
        <w:tc>
          <w:tcPr>
            <w:tcW w:type="dxa" w:w="1560"/>
          </w:tcPr>
          <w:p>
            <w:r/>
            <w:r>
              <w:rPr>
                <w:sz w:val="18"/>
              </w:rPr>
              <w:t>0.600</w:t>
            </w:r>
          </w:p>
        </w:tc>
        <w:tc>
          <w:tcPr>
            <w:tcW w:type="dxa" w:w="1560"/>
          </w:tcPr>
          <w:p>
            <w:r/>
            <w:r>
              <w:rPr>
                <w:sz w:val="18"/>
              </w:rPr>
              <w:t>0.714</w:t>
            </w:r>
          </w:p>
        </w:tc>
        <w:tc>
          <w:tcPr>
            <w:tcW w:type="dxa" w:w="1560"/>
          </w:tcPr>
          <w:p>
            <w:r/>
            <w:r>
              <w:rPr>
                <w:sz w:val="18"/>
              </w:rPr>
              <w:t>False</w:t>
            </w:r>
          </w:p>
        </w:tc>
      </w:tr>
      <w:tr>
        <w:tc>
          <w:tcPr>
            <w:tcW w:type="dxa" w:w="1560"/>
          </w:tcPr>
          <w:p>
            <w:r/>
            <w:r>
              <w:rPr>
                <w:sz w:val="18"/>
              </w:rPr>
              <w:t>Austria</w:t>
            </w:r>
          </w:p>
        </w:tc>
        <w:tc>
          <w:tcPr>
            <w:tcW w:type="dxa" w:w="1560"/>
          </w:tcPr>
          <w:p>
            <w:r/>
            <w:r>
              <w:rPr>
                <w:sz w:val="18"/>
              </w:rPr>
              <w:t>12</w:t>
            </w:r>
          </w:p>
        </w:tc>
        <w:tc>
          <w:tcPr>
            <w:tcW w:type="dxa" w:w="1560"/>
          </w:tcPr>
          <w:p>
            <w:r/>
            <w:r>
              <w:rPr>
                <w:sz w:val="18"/>
              </w:rPr>
              <w:t>1.000</w:t>
            </w:r>
          </w:p>
        </w:tc>
        <w:tc>
          <w:tcPr>
            <w:tcW w:type="dxa" w:w="1560"/>
          </w:tcPr>
          <w:p>
            <w:r/>
            <w:r>
              <w:rPr>
                <w:sz w:val="18"/>
              </w:rPr>
              <w:t>1.000</w:t>
            </w:r>
          </w:p>
        </w:tc>
        <w:tc>
          <w:tcPr>
            <w:tcW w:type="dxa" w:w="1560"/>
          </w:tcPr>
          <w:p>
            <w:r/>
            <w:r>
              <w:rPr>
                <w:sz w:val="18"/>
              </w:rPr>
              <w:t>1.000</w:t>
            </w:r>
          </w:p>
        </w:tc>
        <w:tc>
          <w:tcPr>
            <w:tcW w:type="dxa" w:w="1560"/>
          </w:tcPr>
          <w:p>
            <w:r/>
            <w:r>
              <w:rPr>
                <w:sz w:val="18"/>
              </w:rPr>
              <w:t>False</w:t>
            </w:r>
          </w:p>
        </w:tc>
      </w:tr>
      <w:tr>
        <w:tc>
          <w:tcPr>
            <w:tcW w:type="dxa" w:w="1560"/>
          </w:tcPr>
          <w:p>
            <w:r/>
            <w:r>
              <w:rPr>
                <w:sz w:val="18"/>
              </w:rPr>
              <w:t>Sweden</w:t>
            </w:r>
          </w:p>
        </w:tc>
        <w:tc>
          <w:tcPr>
            <w:tcW w:type="dxa" w:w="1560"/>
          </w:tcPr>
          <w:p>
            <w:r/>
            <w:r>
              <w:rPr>
                <w:sz w:val="18"/>
              </w:rPr>
              <w:t>12</w:t>
            </w:r>
          </w:p>
        </w:tc>
        <w:tc>
          <w:tcPr>
            <w:tcW w:type="dxa" w:w="1560"/>
          </w:tcPr>
          <w:p>
            <w:r/>
            <w:r>
              <w:rPr>
                <w:sz w:val="18"/>
              </w:rPr>
              <w:t>0.667</w:t>
            </w:r>
          </w:p>
        </w:tc>
        <w:tc>
          <w:tcPr>
            <w:tcW w:type="dxa" w:w="1560"/>
          </w:tcPr>
          <w:p>
            <w:r/>
            <w:r>
              <w:rPr>
                <w:sz w:val="18"/>
              </w:rPr>
              <w:t>1.000</w:t>
            </w:r>
          </w:p>
        </w:tc>
        <w:tc>
          <w:tcPr>
            <w:tcW w:type="dxa" w:w="1560"/>
          </w:tcPr>
          <w:p>
            <w:r/>
            <w:r>
              <w:rPr>
                <w:sz w:val="18"/>
              </w:rPr>
              <w:t>0.429</w:t>
            </w:r>
          </w:p>
        </w:tc>
        <w:tc>
          <w:tcPr>
            <w:tcW w:type="dxa" w:w="1560"/>
          </w:tcPr>
          <w:p>
            <w:r/>
            <w:r>
              <w:rPr>
                <w:sz w:val="18"/>
              </w:rPr>
              <w:t>False</w:t>
            </w:r>
          </w:p>
        </w:tc>
      </w:tr>
    </w:tbl>
    <w:p>
      <w:r>
        <w:rPr>
          <w:i/>
          <w:sz w:val="19"/>
        </w:rPr>
        <w:t xml:space="preserve">Table 5. Largest 12 of 34 countries by test rows (full table in </w:t>
      </w:r>
      <w:r>
        <w:rPr>
          <w:rFonts w:ascii="Consolas" w:hAnsi="Consolas"/>
          <w:i/>
          <w:sz w:val="18"/>
        </w:rPr>
        <w:t>reports/model/final_test_results.json</w:t>
      </w:r>
      <w:r>
        <w:rPr>
          <w:i/>
          <w:sz w:val="19"/>
        </w:rPr>
        <w:t>). Rates for groups marked False are unreliable.</w:t>
      </w:r>
    </w:p>
    <w:p>
      <w:pPr>
        <w:pStyle w:val="Heading2"/>
      </w:pPr>
      <w:r>
        <w:t>7. What this analysis cannot show</w:t>
      </w:r>
    </w:p>
    <w:p>
      <w:pPr>
        <w:pStyle w:val="ListNumber"/>
      </w:pPr>
      <w:r>
        <w:rPr>
          <w:b/>
        </w:rPr>
        <w:t>Protected-attribute fairness.</w:t>
      </w:r>
      <w:r>
        <w:t xml:space="preserve"> No protected attributes exist. The brief requires formal analysis of them; that cannot be done honestly with these data (see the draft clarification request).</w:t>
      </w:r>
    </w:p>
    <w:p>
      <w:pPr>
        <w:pStyle w:val="ListNumber"/>
      </w:pPr>
      <w:r>
        <w:rPr>
          <w:b/>
        </w:rPr>
        <w:t>Individual fairness</w:t>
      </w:r>
      <w:r>
        <w:t xml:space="preserve"> and </w:t>
      </w:r>
      <w:r>
        <w:rPr>
          <w:b/>
        </w:rPr>
        <w:t>causal</w:t>
      </w:r>
      <w:r>
        <w:t xml:space="preserve"> questions (would the same customer be treated differently in another country?) are out of scope.</w:t>
      </w:r>
    </w:p>
    <w:p>
      <w:pPr>
        <w:pStyle w:val="ListNumber"/>
      </w:pPr>
      <w:r>
        <w:rPr>
          <w:b/>
        </w:rPr>
        <w:t>Intersectional or per-country conclusions:</w:t>
      </w:r>
      <w:r>
        <w:t xml:space="preserve"> groups are too small.</w:t>
      </w:r>
    </w:p>
    <w:p>
      <w:pPr>
        <w:pStyle w:val="ListNumber"/>
      </w:pPr>
      <w:r>
        <w:rPr>
          <w:b/>
        </w:rPr>
        <w:t>Time.</w:t>
      </w:r>
      <w:r>
        <w:t xml:space="preserve"> A single test window and a prevalence shift (0.57 validation vs 0.42 test) limit how far these numbers will carry forward.</w:t>
      </w:r>
    </w:p>
    <w:p>
      <w:pPr>
        <w:pStyle w:val="ListNumber"/>
      </w:pPr>
      <w:r>
        <w:t>The 90-day churn window is PROPOSED. A different window changes labels and therefore every metric above.</w:t>
      </w:r>
    </w:p>
    <w:p>
      <w:pPr>
        <w:pStyle w:val="Heading2"/>
      </w:pPr>
      <w:r>
        <w:t>8. Reproducing these numbers</w:t>
      </w:r>
    </w:p>
    <w:p>
      <w:r>
        <w:rPr>
          <w:rFonts w:ascii="Consolas" w:hAnsi="Consolas"/>
          <w:sz w:val="18"/>
        </w:rPr>
        <w:t>PYTHONPATH=src python -m churn_model.final_eval</w:t>
      </w:r>
      <w:r>
        <w:t xml:space="preserve"> produces </w:t>
      </w:r>
      <w:r>
        <w:rPr>
          <w:rFonts w:ascii="Consolas" w:hAnsi="Consolas"/>
          <w:sz w:val="18"/>
        </w:rPr>
        <w:t>reports/model/final_test_results.json</w:t>
      </w:r>
      <w:r>
        <w:t xml:space="preserve"> (the source of Tables 2, 3 and 5), and </w:t>
      </w:r>
      <w:r>
        <w:rPr>
          <w:rFonts w:ascii="Consolas" w:hAnsi="Consolas"/>
          <w:sz w:val="18"/>
        </w:rPr>
        <w:t>python -m churn_model.mitigation</w:t>
      </w:r>
      <w:r>
        <w:t xml:space="preserve"> produces </w:t>
      </w:r>
      <w:r>
        <w:rPr>
          <w:rFonts w:ascii="Consolas" w:hAnsi="Consolas"/>
          <w:sz w:val="18"/>
        </w:rPr>
        <w:t>reports/model/mitigation_results.json</w:t>
      </w:r>
      <w:r>
        <w:t xml:space="preserve"> (Table 4). Both log to MLflow experiment </w:t>
      </w:r>
      <w:r>
        <w:rPr>
          <w:rFonts w:ascii="Consolas" w:hAnsi="Consolas"/>
          <w:sz w:val="18"/>
        </w:rPr>
        <w:t>retail-churn-90d</w:t>
      </w:r>
      <w:r>
        <w:t xml:space="preserve">. Re-running </w:t>
      </w:r>
      <w:r>
        <w:rPr>
          <w:rFonts w:ascii="Consolas" w:hAnsi="Consolas"/>
          <w:sz w:val="18"/>
        </w:rPr>
        <w:t>final_eval</w:t>
      </w:r>
      <w:r>
        <w:t xml:space="preserve"> scores the test set again and must be disclosed as such.</w:t>
      </w:r>
    </w:p>
    <w:sectPr w:rsidR="00FC693F" w:rsidRPr="0006063C" w:rsidSect="00034616">
      <w:pgSz w:w="12240" w:h="15840"/>
      <w:pgMar w:top="1296" w:right="1440" w:bottom="1296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