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90BCA" w14:textId="77777777" w:rsidR="002D0EFD" w:rsidRDefault="00FA325D" w:rsidP="008734F8">
      <w:pPr>
        <w:jc w:val="center"/>
      </w:pPr>
      <w:r>
        <w:rPr>
          <w:rFonts w:ascii="Times New Roman" w:eastAsia="Times New Roman" w:hAnsi="Times New Roman" w:cs="Times New Roman"/>
          <w:b/>
          <w:sz w:val="48"/>
          <w:szCs w:val="48"/>
        </w:rPr>
        <w:t>IMPORTANCE AND UTILIZATION OF UPSTREAM TECHNIQUES FOR PRODUCTION OF BIOLOGICAL PRODUCTS</w:t>
      </w:r>
    </w:p>
    <w:p w14:paraId="61A61E72" w14:textId="77777777" w:rsidR="002D0EFD" w:rsidRDefault="00FA325D">
      <w:pPr>
        <w:jc w:val="center"/>
      </w:pPr>
      <w:r>
        <w:t>Submitted in partial fulfillment of the</w:t>
      </w:r>
    </w:p>
    <w:p w14:paraId="19EC9A4D" w14:textId="1A1AF2DC" w:rsidR="002D0EFD" w:rsidRPr="008734F8" w:rsidRDefault="00FA325D" w:rsidP="008734F8">
      <w:pPr>
        <w:jc w:val="center"/>
      </w:pPr>
      <w:r>
        <w:t>requirements for the degree of</w:t>
      </w:r>
      <w:r w:rsidR="008734F8">
        <w:br/>
      </w:r>
    </w:p>
    <w:p w14:paraId="24E84B53" w14:textId="77777777" w:rsidR="002D0EFD" w:rsidRDefault="00FA325D">
      <w:pPr>
        <w:jc w:val="center"/>
        <w:rPr>
          <w:b/>
          <w:sz w:val="28"/>
          <w:szCs w:val="28"/>
        </w:rPr>
      </w:pPr>
      <w:r>
        <w:rPr>
          <w:b/>
          <w:sz w:val="28"/>
          <w:szCs w:val="28"/>
        </w:rPr>
        <w:t xml:space="preserve">Bachelor of Technology </w:t>
      </w:r>
    </w:p>
    <w:p w14:paraId="7E9E7056" w14:textId="77777777" w:rsidR="002D0EFD" w:rsidRDefault="00FA325D">
      <w:pPr>
        <w:jc w:val="center"/>
        <w:rPr>
          <w:b/>
          <w:sz w:val="28"/>
          <w:szCs w:val="28"/>
        </w:rPr>
      </w:pPr>
      <w:r>
        <w:rPr>
          <w:b/>
          <w:sz w:val="28"/>
          <w:szCs w:val="28"/>
        </w:rPr>
        <w:t>In</w:t>
      </w:r>
    </w:p>
    <w:p w14:paraId="3E758C5A" w14:textId="27464851" w:rsidR="002D0EFD" w:rsidRPr="008734F8" w:rsidRDefault="00FA325D" w:rsidP="008734F8">
      <w:pPr>
        <w:jc w:val="center"/>
        <w:rPr>
          <w:b/>
          <w:sz w:val="28"/>
          <w:szCs w:val="28"/>
        </w:rPr>
      </w:pPr>
      <w:r>
        <w:rPr>
          <w:b/>
          <w:sz w:val="28"/>
          <w:szCs w:val="28"/>
        </w:rPr>
        <w:t xml:space="preserve">Biotechnology </w:t>
      </w:r>
    </w:p>
    <w:p w14:paraId="3E9625B9" w14:textId="77777777" w:rsidR="002D0EFD" w:rsidRDefault="00FA325D">
      <w:pPr>
        <w:jc w:val="center"/>
        <w:rPr>
          <w:b/>
          <w:i/>
        </w:rPr>
      </w:pPr>
      <w:r>
        <w:rPr>
          <w:b/>
          <w:i/>
        </w:rPr>
        <w:t>by</w:t>
      </w:r>
    </w:p>
    <w:p w14:paraId="2131F98F" w14:textId="77777777" w:rsidR="002D0EFD" w:rsidRDefault="00FA325D">
      <w:pPr>
        <w:jc w:val="center"/>
        <w:rPr>
          <w:b/>
          <w:sz w:val="28"/>
          <w:szCs w:val="28"/>
        </w:rPr>
      </w:pPr>
      <w:r>
        <w:rPr>
          <w:b/>
          <w:sz w:val="28"/>
          <w:szCs w:val="28"/>
        </w:rPr>
        <w:t>SIDDHARTHA TELUGUU</w:t>
      </w:r>
    </w:p>
    <w:p w14:paraId="4588AD9A" w14:textId="7413663E" w:rsidR="002D0EFD" w:rsidRDefault="00FA325D" w:rsidP="008734F8">
      <w:pPr>
        <w:jc w:val="center"/>
        <w:rPr>
          <w:b/>
          <w:sz w:val="28"/>
          <w:szCs w:val="28"/>
        </w:rPr>
      </w:pPr>
      <w:r>
        <w:rPr>
          <w:b/>
          <w:sz w:val="28"/>
          <w:szCs w:val="28"/>
        </w:rPr>
        <w:t xml:space="preserve">(Reg. No.  22BBT0156  </w:t>
      </w:r>
      <w:proofErr w:type="gramStart"/>
      <w:r>
        <w:rPr>
          <w:b/>
          <w:sz w:val="28"/>
          <w:szCs w:val="28"/>
        </w:rPr>
        <w:t xml:space="preserve">  )</w:t>
      </w:r>
      <w:proofErr w:type="gramEnd"/>
    </w:p>
    <w:p w14:paraId="2778D373" w14:textId="77777777" w:rsidR="002D0EFD" w:rsidRDefault="002D0EFD">
      <w:pPr>
        <w:jc w:val="center"/>
        <w:rPr>
          <w:b/>
        </w:rPr>
      </w:pPr>
    </w:p>
    <w:p w14:paraId="035CAB6C" w14:textId="77777777" w:rsidR="008734F8" w:rsidRDefault="008734F8">
      <w:pPr>
        <w:jc w:val="center"/>
        <w:rPr>
          <w:b/>
        </w:rPr>
      </w:pPr>
    </w:p>
    <w:p w14:paraId="6154A8D5" w14:textId="77777777" w:rsidR="002D0EFD" w:rsidRDefault="00FA325D">
      <w:pPr>
        <w:jc w:val="center"/>
        <w:rPr>
          <w:b/>
        </w:rPr>
      </w:pPr>
      <w:r>
        <w:rPr>
          <w:b/>
          <w:noProof/>
        </w:rPr>
        <w:drawing>
          <wp:inline distT="0" distB="0" distL="0" distR="0" wp14:anchorId="16A070CD" wp14:editId="2414294A">
            <wp:extent cx="3169920" cy="10744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69920" cy="1074420"/>
                    </a:xfrm>
                    <a:prstGeom prst="rect">
                      <a:avLst/>
                    </a:prstGeom>
                    <a:ln/>
                  </pic:spPr>
                </pic:pic>
              </a:graphicData>
            </a:graphic>
          </wp:inline>
        </w:drawing>
      </w:r>
    </w:p>
    <w:p w14:paraId="07DDED37" w14:textId="77777777" w:rsidR="002D0EFD" w:rsidRDefault="00FA325D">
      <w:pPr>
        <w:jc w:val="center"/>
        <w:rPr>
          <w:b/>
          <w:sz w:val="28"/>
          <w:szCs w:val="28"/>
        </w:rPr>
      </w:pPr>
      <w:r>
        <w:rPr>
          <w:b/>
          <w:sz w:val="28"/>
          <w:szCs w:val="28"/>
        </w:rPr>
        <w:t>DEPARTMENT OF BIOTECHNOLOGY</w:t>
      </w:r>
    </w:p>
    <w:p w14:paraId="67E217CB" w14:textId="77777777" w:rsidR="002D0EFD" w:rsidRDefault="00FA325D">
      <w:pPr>
        <w:jc w:val="center"/>
        <w:rPr>
          <w:b/>
          <w:sz w:val="28"/>
          <w:szCs w:val="28"/>
        </w:rPr>
      </w:pPr>
      <w:r>
        <w:rPr>
          <w:b/>
          <w:sz w:val="28"/>
          <w:szCs w:val="28"/>
        </w:rPr>
        <w:t>SCHOOL OF BIO SCIENCES AND TECHNOLOGY</w:t>
      </w:r>
    </w:p>
    <w:p w14:paraId="67B7A527" w14:textId="77777777" w:rsidR="002D0EFD" w:rsidRDefault="00FA325D">
      <w:pPr>
        <w:jc w:val="center"/>
      </w:pPr>
      <w:r>
        <w:rPr>
          <w:sz w:val="32"/>
          <w:szCs w:val="32"/>
        </w:rPr>
        <w:t xml:space="preserve"> </w:t>
      </w:r>
      <w:r>
        <w:t>November 2025</w:t>
      </w:r>
    </w:p>
    <w:p w14:paraId="371D56BD" w14:textId="77777777" w:rsidR="008734F8" w:rsidRDefault="008734F8">
      <w:pPr>
        <w:spacing w:line="480" w:lineRule="auto"/>
        <w:jc w:val="center"/>
        <w:rPr>
          <w:b/>
          <w:sz w:val="28"/>
          <w:szCs w:val="28"/>
        </w:rPr>
      </w:pPr>
    </w:p>
    <w:p w14:paraId="0B47C447" w14:textId="7B9574B0" w:rsidR="002D0EFD" w:rsidRDefault="00FA325D">
      <w:pPr>
        <w:spacing w:line="480" w:lineRule="auto"/>
        <w:jc w:val="center"/>
        <w:rPr>
          <w:b/>
          <w:sz w:val="28"/>
          <w:szCs w:val="28"/>
        </w:rPr>
      </w:pPr>
      <w:r>
        <w:rPr>
          <w:b/>
          <w:sz w:val="28"/>
          <w:szCs w:val="28"/>
        </w:rPr>
        <w:lastRenderedPageBreak/>
        <w:t>DECLARATION</w:t>
      </w:r>
    </w:p>
    <w:p w14:paraId="5B419BFA" w14:textId="77777777" w:rsidR="002D0EFD" w:rsidRDefault="00FA325D">
      <w:pPr>
        <w:spacing w:line="480" w:lineRule="auto"/>
        <w:ind w:firstLine="720"/>
        <w:jc w:val="both"/>
      </w:pPr>
      <w:r>
        <w:t xml:space="preserve">I hereby declare that the Project 1 entitled “Importance and Utilization of Upstream Techniques for the Production of Various Biological Products” submitted by me, for the award of the degree of B.Tech., in Biotechnology to Vellore Institute of Technology, is a record of </w:t>
      </w:r>
      <w:proofErr w:type="spellStart"/>
      <w:r>
        <w:t>bonafide</w:t>
      </w:r>
      <w:proofErr w:type="spellEnd"/>
      <w:r>
        <w:t xml:space="preserve"> research work carried out by me under the supervision of (Guide name)</w:t>
      </w:r>
    </w:p>
    <w:p w14:paraId="7F09AAE5" w14:textId="77777777" w:rsidR="002D0EFD" w:rsidRDefault="002D0EFD">
      <w:pPr>
        <w:spacing w:line="480" w:lineRule="auto"/>
        <w:jc w:val="both"/>
      </w:pPr>
    </w:p>
    <w:p w14:paraId="30EE14AB" w14:textId="77777777" w:rsidR="002D0EFD" w:rsidRDefault="00FA325D">
      <w:pPr>
        <w:spacing w:line="480" w:lineRule="auto"/>
        <w:ind w:firstLine="720"/>
        <w:jc w:val="both"/>
      </w:pPr>
      <w:r>
        <w:t xml:space="preserve">I further declare that the work reported in this Project 1 has not been submitted and will not be submitted, either in part or full, for the award of any other degree or diploma in this institute or of any other institute or university. </w:t>
      </w:r>
    </w:p>
    <w:p w14:paraId="389BB92A" w14:textId="77777777" w:rsidR="002D0EFD" w:rsidRDefault="002D0EFD">
      <w:pPr>
        <w:spacing w:line="480" w:lineRule="auto"/>
        <w:jc w:val="both"/>
      </w:pPr>
    </w:p>
    <w:p w14:paraId="491B6051" w14:textId="77777777" w:rsidR="002D0EFD" w:rsidRDefault="002D0EFD">
      <w:pPr>
        <w:spacing w:line="480" w:lineRule="auto"/>
        <w:jc w:val="both"/>
      </w:pPr>
    </w:p>
    <w:p w14:paraId="3A4AD805" w14:textId="77777777" w:rsidR="002D0EFD" w:rsidRDefault="002D0EFD">
      <w:pPr>
        <w:spacing w:line="480" w:lineRule="auto"/>
        <w:jc w:val="both"/>
        <w:rPr>
          <w:b/>
        </w:rPr>
      </w:pPr>
    </w:p>
    <w:p w14:paraId="644E146D" w14:textId="77777777" w:rsidR="002D0EFD" w:rsidRDefault="002D0EFD">
      <w:pPr>
        <w:spacing w:line="480" w:lineRule="auto"/>
        <w:rPr>
          <w:b/>
        </w:rPr>
      </w:pPr>
    </w:p>
    <w:p w14:paraId="227286EC" w14:textId="77777777" w:rsidR="002D0EFD" w:rsidRDefault="00FA325D">
      <w:pPr>
        <w:spacing w:line="480" w:lineRule="auto"/>
        <w:rPr>
          <w:b/>
        </w:rPr>
      </w:pPr>
      <w:r>
        <w:rPr>
          <w:b/>
        </w:rPr>
        <w:t xml:space="preserve">Place:                                                                                       Signature of the Candidate </w:t>
      </w:r>
    </w:p>
    <w:p w14:paraId="1EAEBFBD" w14:textId="77777777" w:rsidR="002D0EFD" w:rsidRDefault="00FA325D">
      <w:pPr>
        <w:spacing w:line="480" w:lineRule="auto"/>
      </w:pPr>
      <w:r>
        <w:rPr>
          <w:b/>
        </w:rPr>
        <w:t>Date:</w:t>
      </w:r>
      <w:r>
        <w:t xml:space="preserve">                </w:t>
      </w:r>
      <w:r>
        <w:tab/>
      </w:r>
      <w:r>
        <w:tab/>
      </w:r>
      <w:r>
        <w:tab/>
      </w:r>
      <w:r>
        <w:tab/>
      </w:r>
      <w:r>
        <w:tab/>
      </w:r>
      <w:r>
        <w:tab/>
      </w:r>
    </w:p>
    <w:p w14:paraId="30FE6B63" w14:textId="77777777" w:rsidR="002D0EFD" w:rsidRDefault="002D0EFD">
      <w:pPr>
        <w:spacing w:line="480" w:lineRule="auto"/>
        <w:jc w:val="center"/>
        <w:rPr>
          <w:b/>
          <w:sz w:val="36"/>
          <w:szCs w:val="36"/>
        </w:rPr>
      </w:pPr>
    </w:p>
    <w:p w14:paraId="2B6A7182" w14:textId="77777777" w:rsidR="002D0EFD" w:rsidRDefault="002D0EFD">
      <w:pPr>
        <w:spacing w:line="480" w:lineRule="auto"/>
        <w:jc w:val="center"/>
        <w:rPr>
          <w:b/>
          <w:sz w:val="36"/>
          <w:szCs w:val="36"/>
        </w:rPr>
      </w:pPr>
    </w:p>
    <w:p w14:paraId="60D1B92F" w14:textId="77777777" w:rsidR="008734F8" w:rsidRDefault="008734F8">
      <w:pPr>
        <w:jc w:val="center"/>
        <w:rPr>
          <w:b/>
          <w:sz w:val="36"/>
          <w:szCs w:val="36"/>
        </w:rPr>
      </w:pPr>
    </w:p>
    <w:p w14:paraId="4A2FCD43" w14:textId="77777777" w:rsidR="008734F8" w:rsidRDefault="008734F8">
      <w:pPr>
        <w:jc w:val="center"/>
        <w:rPr>
          <w:b/>
          <w:sz w:val="36"/>
          <w:szCs w:val="36"/>
        </w:rPr>
      </w:pPr>
    </w:p>
    <w:p w14:paraId="410E7658" w14:textId="68BA327D" w:rsidR="002D0EFD" w:rsidRDefault="00FA325D">
      <w:pPr>
        <w:jc w:val="center"/>
        <w:rPr>
          <w:b/>
        </w:rPr>
      </w:pPr>
      <w:r>
        <w:rPr>
          <w:b/>
        </w:rPr>
        <w:t xml:space="preserve">CERTIFICATE </w:t>
      </w:r>
    </w:p>
    <w:p w14:paraId="62DED599" w14:textId="77777777" w:rsidR="002D0EFD" w:rsidRDefault="002D0EFD">
      <w:pPr>
        <w:jc w:val="center"/>
        <w:rPr>
          <w:b/>
        </w:rPr>
      </w:pPr>
    </w:p>
    <w:p w14:paraId="19B5414D" w14:textId="77777777" w:rsidR="002D0EFD" w:rsidRDefault="00FA325D">
      <w:pPr>
        <w:spacing w:line="480" w:lineRule="auto"/>
        <w:ind w:firstLine="720"/>
        <w:jc w:val="both"/>
      </w:pPr>
      <w:r>
        <w:t xml:space="preserve">This is to certify that the dissertation entitled “Importance and Utilization of Upstream Techniques for the Production of Various Biological Products” submitted by Siddhartha Telugu (22BBT0156) to the Vellore Institute of Technology , for the award of the degree of B.Tech., in Biotechnology, is a record of </w:t>
      </w:r>
      <w:proofErr w:type="spellStart"/>
      <w:r>
        <w:t>bonafide</w:t>
      </w:r>
      <w:proofErr w:type="spellEnd"/>
      <w:r>
        <w:t xml:space="preserve"> work carried out by him under my supervision, as per the VIT code of academics and research ethics.</w:t>
      </w:r>
    </w:p>
    <w:p w14:paraId="5996DDF8" w14:textId="77777777" w:rsidR="002D0EFD" w:rsidRDefault="002D0EFD">
      <w:pPr>
        <w:spacing w:line="480" w:lineRule="auto"/>
        <w:ind w:firstLine="720"/>
        <w:jc w:val="both"/>
      </w:pPr>
    </w:p>
    <w:p w14:paraId="0BCE5960" w14:textId="77777777" w:rsidR="002D0EFD" w:rsidRDefault="00FA325D">
      <w:pPr>
        <w:spacing w:line="480" w:lineRule="auto"/>
        <w:ind w:firstLine="720"/>
        <w:jc w:val="both"/>
      </w:pPr>
      <w:r>
        <w:t>The contents of this report have not been submitted and will not be submitted either in part or in full, for the award of any degree or diploma in this institute or any other institute or university. The Project 1 fulfills the requirements and regulations of the University and in my opinion meets the necessary standards for submission.</w:t>
      </w:r>
    </w:p>
    <w:p w14:paraId="06476908" w14:textId="77777777" w:rsidR="002D0EFD" w:rsidRDefault="00FA325D">
      <w:pPr>
        <w:spacing w:line="480" w:lineRule="auto"/>
        <w:jc w:val="both"/>
      </w:pPr>
      <w:r>
        <w:tab/>
      </w:r>
      <w:r>
        <w:tab/>
      </w:r>
      <w:r>
        <w:tab/>
      </w:r>
      <w:r>
        <w:tab/>
      </w:r>
    </w:p>
    <w:p w14:paraId="7C95115F" w14:textId="77777777" w:rsidR="002D0EFD" w:rsidRDefault="00FA325D">
      <w:r>
        <w:t xml:space="preserve">Place:                                                                                              </w:t>
      </w:r>
    </w:p>
    <w:p w14:paraId="7DC875ED" w14:textId="77777777" w:rsidR="002D0EFD" w:rsidRDefault="002D0EFD"/>
    <w:p w14:paraId="0E60EE3A" w14:textId="77777777" w:rsidR="002D0EFD" w:rsidRDefault="00FA325D">
      <w:pPr>
        <w:pBdr>
          <w:top w:val="nil"/>
          <w:left w:val="nil"/>
          <w:bottom w:val="nil"/>
          <w:right w:val="nil"/>
          <w:between w:val="nil"/>
        </w:pBdr>
        <w:tabs>
          <w:tab w:val="left" w:pos="3699"/>
          <w:tab w:val="left" w:pos="6579"/>
        </w:tabs>
        <w:spacing w:after="120"/>
        <w:ind w:left="100"/>
        <w:rPr>
          <w:color w:val="000000"/>
        </w:rPr>
      </w:pPr>
      <w:r>
        <w:rPr>
          <w:color w:val="000000"/>
        </w:rPr>
        <w:t xml:space="preserve">Date:                                         Internal Guide       </w:t>
      </w:r>
      <w:proofErr w:type="gramStart"/>
      <w:r>
        <w:rPr>
          <w:color w:val="000000"/>
        </w:rPr>
        <w:tab/>
        <w:t xml:space="preserve">  External</w:t>
      </w:r>
      <w:proofErr w:type="gramEnd"/>
      <w:r>
        <w:rPr>
          <w:color w:val="000000"/>
        </w:rPr>
        <w:t xml:space="preserve"> Guide</w:t>
      </w:r>
    </w:p>
    <w:p w14:paraId="379FD48D" w14:textId="77777777" w:rsidR="002D0EFD" w:rsidRDefault="002D0EFD"/>
    <w:p w14:paraId="09AA08E2" w14:textId="77777777" w:rsidR="002D0EFD" w:rsidRDefault="002D0EFD">
      <w:pPr>
        <w:jc w:val="center"/>
      </w:pPr>
    </w:p>
    <w:p w14:paraId="5B23698B" w14:textId="77777777" w:rsidR="002D0EFD" w:rsidRDefault="002D0EFD"/>
    <w:p w14:paraId="7894D01C" w14:textId="77777777" w:rsidR="002D0EFD" w:rsidRDefault="002D0EFD"/>
    <w:p w14:paraId="0000C17B" w14:textId="77777777" w:rsidR="002D0EFD" w:rsidRDefault="00FA325D">
      <w:pPr>
        <w:ind w:left="100" w:right="118"/>
        <w:jc w:val="both"/>
        <w:rPr>
          <w:i/>
        </w:rPr>
      </w:pPr>
      <w:r>
        <w:rPr>
          <w:b/>
          <w:i/>
        </w:rPr>
        <w:t xml:space="preserve">Note: </w:t>
      </w:r>
      <w:r>
        <w:rPr>
          <w:i/>
        </w:rPr>
        <w:t xml:space="preserve">The students doing project outside VIT are requested to follow the above format. The internal project students are requested to mention only </w:t>
      </w:r>
      <w:r>
        <w:rPr>
          <w:b/>
          <w:i/>
        </w:rPr>
        <w:t xml:space="preserve">“Signature of Guide” </w:t>
      </w:r>
      <w:r>
        <w:rPr>
          <w:i/>
        </w:rPr>
        <w:t>instead of Internal and External guide</w:t>
      </w:r>
    </w:p>
    <w:p w14:paraId="20FABF0E" w14:textId="77777777" w:rsidR="002D0EFD" w:rsidRDefault="002D0EFD"/>
    <w:p w14:paraId="4E803841" w14:textId="77777777" w:rsidR="002D0EFD" w:rsidRDefault="00FA325D">
      <w:pPr>
        <w:jc w:val="center"/>
        <w:rPr>
          <w:b/>
        </w:rPr>
      </w:pPr>
      <w:r>
        <w:rPr>
          <w:b/>
          <w:noProof/>
        </w:rPr>
        <w:lastRenderedPageBreak/>
        <w:drawing>
          <wp:inline distT="0" distB="0" distL="0" distR="0" wp14:anchorId="3480B3EE" wp14:editId="48838634">
            <wp:extent cx="3169920" cy="10744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69920" cy="1074420"/>
                    </a:xfrm>
                    <a:prstGeom prst="rect">
                      <a:avLst/>
                    </a:prstGeom>
                    <a:ln/>
                  </pic:spPr>
                </pic:pic>
              </a:graphicData>
            </a:graphic>
          </wp:inline>
        </w:drawing>
      </w:r>
    </w:p>
    <w:p w14:paraId="27FAE9FC" w14:textId="77777777" w:rsidR="002D0EFD" w:rsidRDefault="002D0EFD">
      <w:pPr>
        <w:jc w:val="center"/>
        <w:rPr>
          <w:b/>
        </w:rPr>
      </w:pPr>
    </w:p>
    <w:p w14:paraId="5FEF3040" w14:textId="77777777" w:rsidR="002D0EFD" w:rsidRDefault="00FA325D">
      <w:pPr>
        <w:jc w:val="center"/>
        <w:rPr>
          <w:b/>
        </w:rPr>
      </w:pPr>
      <w:r>
        <w:rPr>
          <w:b/>
        </w:rPr>
        <w:t>Project 1 Approval Form</w:t>
      </w:r>
    </w:p>
    <w:p w14:paraId="761B00EE" w14:textId="77777777" w:rsidR="002D0EFD" w:rsidRDefault="002D0EFD">
      <w:pPr>
        <w:jc w:val="center"/>
        <w:rPr>
          <w:b/>
        </w:rPr>
      </w:pPr>
    </w:p>
    <w:p w14:paraId="04FFAA11" w14:textId="77777777" w:rsidR="002D0EFD" w:rsidRDefault="002D0EFD">
      <w:pPr>
        <w:jc w:val="center"/>
        <w:rPr>
          <w:b/>
        </w:rPr>
      </w:pPr>
    </w:p>
    <w:p w14:paraId="22824931" w14:textId="77777777" w:rsidR="002D0EFD" w:rsidRDefault="002D0EFD">
      <w:pPr>
        <w:jc w:val="both"/>
        <w:rPr>
          <w:b/>
        </w:rPr>
      </w:pPr>
    </w:p>
    <w:p w14:paraId="2C5C8C82" w14:textId="7BB0B5BD" w:rsidR="002D0EFD" w:rsidRDefault="00CC5FBA">
      <w:pPr>
        <w:jc w:val="center"/>
        <w:rPr>
          <w:b/>
          <w:sz w:val="48"/>
          <w:szCs w:val="48"/>
        </w:rPr>
      </w:pPr>
      <w:r w:rsidRPr="00CC5FBA">
        <w:rPr>
          <w:b/>
          <w:sz w:val="48"/>
          <w:szCs w:val="48"/>
        </w:rPr>
        <w:t>MANUFACTURING SCIENCE AND TECHNOLOGY (MSAT) OPERATIONS IN BIOPHARMACEUTICAL MANUFACTURING</w:t>
      </w:r>
    </w:p>
    <w:p w14:paraId="75871497" w14:textId="77777777" w:rsidR="002D0EFD" w:rsidRDefault="00FA325D">
      <w:pPr>
        <w:jc w:val="both"/>
      </w:pPr>
      <w:r>
        <w:t>and authored by Siddhartha Telugu (22BBT0156), is hereby accepted and approved</w:t>
      </w:r>
    </w:p>
    <w:p w14:paraId="5A2DDBFD" w14:textId="77777777" w:rsidR="002D0EFD" w:rsidRDefault="002D0EFD">
      <w:pPr>
        <w:jc w:val="center"/>
      </w:pPr>
    </w:p>
    <w:p w14:paraId="2C5D71EC" w14:textId="77777777" w:rsidR="002D0EFD" w:rsidRDefault="002D0EFD">
      <w:pPr>
        <w:jc w:val="center"/>
      </w:pPr>
    </w:p>
    <w:p w14:paraId="17E82BA0" w14:textId="77777777" w:rsidR="002D0EFD" w:rsidRDefault="002D0EFD"/>
    <w:p w14:paraId="40DE5824" w14:textId="77777777" w:rsidR="002D0EFD" w:rsidRDefault="002D0EFD"/>
    <w:p w14:paraId="2CE82DB4" w14:textId="77777777" w:rsidR="002D0EFD" w:rsidRDefault="00FA325D">
      <w:r>
        <w:t xml:space="preserve">Head of the Department </w:t>
      </w:r>
      <w:r>
        <w:tab/>
      </w:r>
      <w:r>
        <w:tab/>
      </w:r>
      <w:r>
        <w:tab/>
      </w:r>
      <w:r>
        <w:tab/>
      </w:r>
      <w:r>
        <w:tab/>
      </w:r>
      <w:r>
        <w:tab/>
        <w:t>Dean SBST</w:t>
      </w:r>
    </w:p>
    <w:p w14:paraId="622E16F3" w14:textId="77777777" w:rsidR="002D0EFD" w:rsidRDefault="002D0EFD"/>
    <w:p w14:paraId="6C1B8660" w14:textId="77777777" w:rsidR="008734F8" w:rsidRDefault="008734F8">
      <w:pPr>
        <w:spacing w:after="160" w:line="259" w:lineRule="auto"/>
        <w:jc w:val="both"/>
        <w:rPr>
          <w:rFonts w:ascii="Times New Roman" w:eastAsia="Times New Roman" w:hAnsi="Times New Roman" w:cs="Times New Roman"/>
        </w:rPr>
      </w:pPr>
    </w:p>
    <w:p w14:paraId="18FDA3CE"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INTERNSHIP REPORT</w:t>
      </w:r>
    </w:p>
    <w:p w14:paraId="5581E2F0"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MANUFACTURING SCIENCE AND TECHNOLOGY (MSAT) OPERATIONS IN BIOPHARMACEUTICAL MANUFACTURING</w:t>
      </w:r>
    </w:p>
    <w:p w14:paraId="72EBE78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 xml:space="preserve">Submitted in partial </w:t>
      </w:r>
      <w:proofErr w:type="spellStart"/>
      <w:r w:rsidRPr="00CC5FBA">
        <w:rPr>
          <w:rFonts w:ascii="Times New Roman" w:eastAsia="Times New Roman" w:hAnsi="Times New Roman" w:cs="Times New Roman"/>
          <w:b/>
          <w:bCs/>
          <w:sz w:val="24"/>
          <w:szCs w:val="24"/>
          <w:lang w:val="en-IN"/>
        </w:rPr>
        <w:t>fulfillment</w:t>
      </w:r>
      <w:proofErr w:type="spellEnd"/>
      <w:r w:rsidRPr="00CC5FBA">
        <w:rPr>
          <w:rFonts w:ascii="Times New Roman" w:eastAsia="Times New Roman" w:hAnsi="Times New Roman" w:cs="Times New Roman"/>
          <w:b/>
          <w:bCs/>
          <w:sz w:val="24"/>
          <w:szCs w:val="24"/>
          <w:lang w:val="en-IN"/>
        </w:rPr>
        <w:t xml:space="preserve"> of the requirements for the degree of</w:t>
      </w:r>
    </w:p>
    <w:p w14:paraId="5F1D234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Bachelor of Technology</w:t>
      </w:r>
    </w:p>
    <w:p w14:paraId="7BDFCF9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In</w:t>
      </w:r>
    </w:p>
    <w:p w14:paraId="542B711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Biotechnology</w:t>
      </w:r>
    </w:p>
    <w:p w14:paraId="219DE01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36042E70">
          <v:rect id="_x0000_i1109" style="width:0;height:1.5pt" o:hralign="center" o:hrstd="t" o:hr="t" fillcolor="#a0a0a0" stroked="f"/>
        </w:pict>
      </w:r>
    </w:p>
    <w:p w14:paraId="40AB75D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i/>
          <w:iCs/>
          <w:sz w:val="24"/>
          <w:szCs w:val="24"/>
          <w:lang w:val="en-IN"/>
        </w:rPr>
        <w:t>by</w:t>
      </w:r>
    </w:p>
    <w:p w14:paraId="0CD40FD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DHIYANESH SRINIVASAN</w:t>
      </w:r>
    </w:p>
    <w:p w14:paraId="3E6FC1E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(Reg. No. XXXXXXXXXX)</w:t>
      </w:r>
    </w:p>
    <w:p w14:paraId="606EBA3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59765D78">
          <v:rect id="_x0000_i1110" style="width:0;height:1.5pt" o:hralign="center" o:hrstd="t" o:hr="t" fillcolor="#a0a0a0" stroked="f"/>
        </w:pict>
      </w:r>
    </w:p>
    <w:p w14:paraId="12EAE77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DEPARTMENT OF BIOTECHNOLOGY</w:t>
      </w:r>
    </w:p>
    <w:p w14:paraId="58BF648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VELLORE INSTITUTE OF TECHNOLOGY</w:t>
      </w:r>
    </w:p>
    <w:p w14:paraId="418058C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November 2025</w:t>
      </w:r>
    </w:p>
    <w:p w14:paraId="73DA739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2CECBC2E">
          <v:rect id="_x0000_i1111" style="width:0;height:1.5pt" o:hralign="center" o:hrstd="t" o:hr="t" fillcolor="#a0a0a0" stroked="f"/>
        </w:pict>
      </w:r>
    </w:p>
    <w:p w14:paraId="1E90D1D4"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DECLARATION</w:t>
      </w:r>
    </w:p>
    <w:p w14:paraId="34CE7C9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I hereby declare that the Internship Report entitled "Manufacturing Science and Technology (MSAT) Operations in Biopharmaceutical Manufacturing" submitted by me for the award of the degree of B.Tech. in Biotechnology to Vellore Institute of Technology is a record of </w:t>
      </w:r>
      <w:proofErr w:type="spellStart"/>
      <w:r w:rsidRPr="00CC5FBA">
        <w:rPr>
          <w:rFonts w:ascii="Times New Roman" w:eastAsia="Times New Roman" w:hAnsi="Times New Roman" w:cs="Times New Roman"/>
          <w:bCs/>
          <w:sz w:val="24"/>
          <w:szCs w:val="24"/>
          <w:lang w:val="en-IN"/>
        </w:rPr>
        <w:t>bonafide</w:t>
      </w:r>
      <w:proofErr w:type="spellEnd"/>
      <w:r w:rsidRPr="00CC5FBA">
        <w:rPr>
          <w:rFonts w:ascii="Times New Roman" w:eastAsia="Times New Roman" w:hAnsi="Times New Roman" w:cs="Times New Roman"/>
          <w:bCs/>
          <w:sz w:val="24"/>
          <w:szCs w:val="24"/>
          <w:lang w:val="en-IN"/>
        </w:rPr>
        <w:t xml:space="preserve"> internship work carried out by me at Biocon Biologics Limited under the supervision of Mr. Sanjay Rout, Associate Director - MSAT, and Ms. Harini A, Senior Manager - MSAT.</w:t>
      </w:r>
    </w:p>
    <w:p w14:paraId="708DBC9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further declare that the work reported in this Internship Report has not been submitted and will not be submitted, either in part or full, for the award of any other degree or diploma in this institute or any other institute or university.</w:t>
      </w:r>
    </w:p>
    <w:p w14:paraId="0889A92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Place:</w:t>
      </w:r>
      <w:r w:rsidRPr="00CC5FBA">
        <w:rPr>
          <w:rFonts w:ascii="Times New Roman" w:eastAsia="Times New Roman" w:hAnsi="Times New Roman" w:cs="Times New Roman"/>
          <w:bCs/>
          <w:sz w:val="24"/>
          <w:szCs w:val="24"/>
          <w:lang w:val="en-IN"/>
        </w:rPr>
        <w:t xml:space="preserve"> Bangalore</w:t>
      </w:r>
    </w:p>
    <w:p w14:paraId="242A259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Date:</w:t>
      </w:r>
      <w:r w:rsidRPr="00CC5FBA">
        <w:rPr>
          <w:rFonts w:ascii="Times New Roman" w:eastAsia="Times New Roman" w:hAnsi="Times New Roman" w:cs="Times New Roman"/>
          <w:bCs/>
          <w:sz w:val="24"/>
          <w:szCs w:val="24"/>
          <w:lang w:val="en-IN"/>
        </w:rPr>
        <w:t xml:space="preserve"> November 2025</w:t>
      </w:r>
    </w:p>
    <w:p w14:paraId="7FF0DA1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Signature of the Candidate</w:t>
      </w:r>
    </w:p>
    <w:p w14:paraId="55EB5BB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10FC06A8">
          <v:rect id="_x0000_i1112" style="width:0;height:1.5pt" o:hralign="center" o:hrstd="t" o:hr="t" fillcolor="#a0a0a0" stroked="f"/>
        </w:pict>
      </w:r>
    </w:p>
    <w:p w14:paraId="412AD167"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CERTIFICATE</w:t>
      </w:r>
    </w:p>
    <w:p w14:paraId="22B0264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This is to certify that the internship report entitled "Manufacturing Science and Technology (MSAT) Operations in Biopharmaceutical Manufacturing" submitted by Dhiyanesh Srinivasan to the Vellore Institute of Technology for the award of the degree of B.Tech. in Biotechnology is a record of </w:t>
      </w:r>
      <w:proofErr w:type="spellStart"/>
      <w:r w:rsidRPr="00CC5FBA">
        <w:rPr>
          <w:rFonts w:ascii="Times New Roman" w:eastAsia="Times New Roman" w:hAnsi="Times New Roman" w:cs="Times New Roman"/>
          <w:bCs/>
          <w:sz w:val="24"/>
          <w:szCs w:val="24"/>
          <w:lang w:val="en-IN"/>
        </w:rPr>
        <w:t>bonafide</w:t>
      </w:r>
      <w:proofErr w:type="spellEnd"/>
      <w:r w:rsidRPr="00CC5FBA">
        <w:rPr>
          <w:rFonts w:ascii="Times New Roman" w:eastAsia="Times New Roman" w:hAnsi="Times New Roman" w:cs="Times New Roman"/>
          <w:bCs/>
          <w:sz w:val="24"/>
          <w:szCs w:val="24"/>
          <w:lang w:val="en-IN"/>
        </w:rPr>
        <w:t xml:space="preserve"> work carried out by him under my supervision at </w:t>
      </w:r>
      <w:r w:rsidRPr="00CC5FBA">
        <w:rPr>
          <w:rFonts w:ascii="Times New Roman" w:eastAsia="Times New Roman" w:hAnsi="Times New Roman" w:cs="Times New Roman"/>
          <w:bCs/>
          <w:sz w:val="24"/>
          <w:szCs w:val="24"/>
          <w:lang w:val="en-IN"/>
        </w:rPr>
        <w:lastRenderedPageBreak/>
        <w:t>Biocon Biologics Limited from June 9, 2025, to present, as per the VIT code of academics and research ethics.</w:t>
      </w:r>
    </w:p>
    <w:p w14:paraId="5ABA0F3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The contents of this report have not been submitted and will not be submitted either in part or in full for the award of any degree or diploma in this institute or any other institute or university. The internship report </w:t>
      </w:r>
      <w:proofErr w:type="spellStart"/>
      <w:r w:rsidRPr="00CC5FBA">
        <w:rPr>
          <w:rFonts w:ascii="Times New Roman" w:eastAsia="Times New Roman" w:hAnsi="Times New Roman" w:cs="Times New Roman"/>
          <w:bCs/>
          <w:sz w:val="24"/>
          <w:szCs w:val="24"/>
          <w:lang w:val="en-IN"/>
        </w:rPr>
        <w:t>fulfills</w:t>
      </w:r>
      <w:proofErr w:type="spellEnd"/>
      <w:r w:rsidRPr="00CC5FBA">
        <w:rPr>
          <w:rFonts w:ascii="Times New Roman" w:eastAsia="Times New Roman" w:hAnsi="Times New Roman" w:cs="Times New Roman"/>
          <w:bCs/>
          <w:sz w:val="24"/>
          <w:szCs w:val="24"/>
          <w:lang w:val="en-IN"/>
        </w:rPr>
        <w:t xml:space="preserve"> the requirements and regulations of the University and in my opinion meets the necessary standards for submission.</w:t>
      </w:r>
    </w:p>
    <w:p w14:paraId="2EE5C5F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Place:</w:t>
      </w:r>
      <w:r w:rsidRPr="00CC5FBA">
        <w:rPr>
          <w:rFonts w:ascii="Times New Roman" w:eastAsia="Times New Roman" w:hAnsi="Times New Roman" w:cs="Times New Roman"/>
          <w:bCs/>
          <w:sz w:val="24"/>
          <w:szCs w:val="24"/>
          <w:lang w:val="en-IN"/>
        </w:rPr>
        <w:t xml:space="preserve"> Bangalore</w:t>
      </w:r>
    </w:p>
    <w:p w14:paraId="3FE91FB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Date:</w:t>
      </w:r>
      <w:r w:rsidRPr="00CC5FBA">
        <w:rPr>
          <w:rFonts w:ascii="Times New Roman" w:eastAsia="Times New Roman" w:hAnsi="Times New Roman" w:cs="Times New Roman"/>
          <w:bCs/>
          <w:sz w:val="24"/>
          <w:szCs w:val="24"/>
          <w:lang w:val="en-IN"/>
        </w:rPr>
        <w:t xml:space="preserve"> November 2025</w:t>
      </w:r>
    </w:p>
    <w:p w14:paraId="6D71F6F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External Guide</w:t>
      </w:r>
      <w:r w:rsidRPr="00CC5FBA">
        <w:rPr>
          <w:rFonts w:ascii="Times New Roman" w:eastAsia="Times New Roman" w:hAnsi="Times New Roman" w:cs="Times New Roman"/>
          <w:bCs/>
          <w:sz w:val="24"/>
          <w:szCs w:val="24"/>
          <w:lang w:val="en-IN"/>
        </w:rPr>
        <w:t xml:space="preserve"> </w:t>
      </w:r>
      <w:r w:rsidRPr="00CC5FBA">
        <w:rPr>
          <w:rFonts w:ascii="Times New Roman" w:eastAsia="Times New Roman" w:hAnsi="Times New Roman" w:cs="Times New Roman"/>
          <w:b/>
          <w:bCs/>
          <w:sz w:val="24"/>
          <w:szCs w:val="24"/>
          <w:lang w:val="en-IN"/>
        </w:rPr>
        <w:t>Internal Guide</w:t>
      </w:r>
    </w:p>
    <w:p w14:paraId="481CFD0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Mr. Sanjay Rout Dr. [Internal Guide Name]</w:t>
      </w:r>
    </w:p>
    <w:p w14:paraId="1B2413D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Associate Director - MSAT</w:t>
      </w:r>
    </w:p>
    <w:p w14:paraId="521AFE1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Biocon Biologics Limited</w:t>
      </w:r>
    </w:p>
    <w:p w14:paraId="7091CAE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2F981B9F">
          <v:rect id="_x0000_i1113" style="width:0;height:1.5pt" o:hralign="center" o:hrstd="t" o:hr="t" fillcolor="#a0a0a0" stroked="f"/>
        </w:pict>
      </w:r>
    </w:p>
    <w:p w14:paraId="242131D8"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ACKNOWLEDGEMENT</w:t>
      </w:r>
    </w:p>
    <w:p w14:paraId="2881FB1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I am deeply grateful to the management of Vellore Institute of Technology (VIT) and would like to express my sincere gratitude to our Chancellor Dr. G. Viswanathan for providing me with the opportunity and resources to undertake this internship. Their commitment to fostering a conducive learning environment and industry academia collaboration has been instrumental in my academic and professional journey. The support and infrastructure provided by VIT has enabled me to explore and develop my skills to their fullest potential in a </w:t>
      </w:r>
      <w:proofErr w:type="gramStart"/>
      <w:r w:rsidRPr="00CC5FBA">
        <w:rPr>
          <w:rFonts w:ascii="Times New Roman" w:eastAsia="Times New Roman" w:hAnsi="Times New Roman" w:cs="Times New Roman"/>
          <w:bCs/>
          <w:sz w:val="24"/>
          <w:szCs w:val="24"/>
          <w:lang w:val="en-IN"/>
        </w:rPr>
        <w:t>real world</w:t>
      </w:r>
      <w:proofErr w:type="gramEnd"/>
      <w:r w:rsidRPr="00CC5FBA">
        <w:rPr>
          <w:rFonts w:ascii="Times New Roman" w:eastAsia="Times New Roman" w:hAnsi="Times New Roman" w:cs="Times New Roman"/>
          <w:bCs/>
          <w:sz w:val="24"/>
          <w:szCs w:val="24"/>
          <w:lang w:val="en-IN"/>
        </w:rPr>
        <w:t xml:space="preserve"> industrial setting.</w:t>
      </w:r>
    </w:p>
    <w:p w14:paraId="1D8B8AF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My sincere thanks to our Dean Dr. Suneetha V of the School of Biosciences and Technology for their unwavering support and encouragement throughout my academic tenure. Their leadership and vision have greatly inspired me to strive for excellence in both theoretical knowledge and practical applications.</w:t>
      </w:r>
    </w:p>
    <w:p w14:paraId="0D5EC9C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express my profound appreciation to Dr. Shanthi V, the Head of Department of Biotechnology, for her insightful guidance and continuous support in facilitating this invaluable industrial training opportunity.</w:t>
      </w:r>
    </w:p>
    <w:p w14:paraId="086F729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am also extremely grateful to my internal project guide Dr. [Internal Guide Name] for their guidance throughout the course of this internship documentation and for providing valuable academic insights that helped bridge theoretical concepts with industrial practices.</w:t>
      </w:r>
    </w:p>
    <w:p w14:paraId="368B030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I am deeply indebted to Mr. Sanjay Rout, Associate Director - MSAT, Biocon Biologics Limited, for providing me the extraordinary opportunity to complete my internship under his esteemed leadership. His vision, values, and standard of excellence for MSAT operations served as a constant source of motivation and learning during this tenure. His expertise in </w:t>
      </w:r>
      <w:r w:rsidRPr="00CC5FBA">
        <w:rPr>
          <w:rFonts w:ascii="Times New Roman" w:eastAsia="Times New Roman" w:hAnsi="Times New Roman" w:cs="Times New Roman"/>
          <w:bCs/>
          <w:sz w:val="24"/>
          <w:szCs w:val="24"/>
          <w:lang w:val="en-IN"/>
        </w:rPr>
        <w:lastRenderedPageBreak/>
        <w:t>manufacturing science, process validation, and regulatory compliance has significantly shaped my understanding of biopharmaceutical operations.</w:t>
      </w:r>
    </w:p>
    <w:p w14:paraId="0DFF57D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would also like to extend my heartfelt appreciation to Ms. Kala Chandramouli, Associate Director - MSAT, for her continued support and encouragement throughout the internship. Her insights into technology transfer and process optimization have been invaluable to my learning experience.</w:t>
      </w:r>
    </w:p>
    <w:p w14:paraId="17DAA7F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My sincere gratitude goes to my mentor Ms. Harini A, Senior Manager - MSAT, whose patient guidance, constructive critiques, and inspiring mentorship played a vital role in enhancing my academic and professional competence. Her expertise in process validation, documentation practices, deviation investigations, and analytical methodologies has significantly contributed to my technical growth and understanding of cGMP compliance requirements.</w:t>
      </w:r>
    </w:p>
    <w:p w14:paraId="3A6A205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extend my recognition to the entire MSAT team at Biocon Biologics Limited, whose collaboration, knowledge sharing, and teamwork helped me understand key aspects such as process validation, manufacturing science, regulatory documentation, technology transfer, upstream and downstream processing, quality assurance, and the critical interfaces between R&amp;D and commercial manufacturing operations.</w:t>
      </w:r>
    </w:p>
    <w:p w14:paraId="1467AE9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Finally, I remain indebted to Biocon Biologics Limited for providing such a conducive, professional, and learning oriented environment that fostered both technical skill development and professional growth. I am also thankful to my family, friends, and the Almighty for their steadfast support, blessings, and encouragement throughout this journey.</w:t>
      </w:r>
    </w:p>
    <w:p w14:paraId="68A2339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79686C43">
          <v:rect id="_x0000_i1114" style="width:0;height:1.5pt" o:hralign="center" o:hrstd="t" o:hr="t" fillcolor="#a0a0a0" stroked="f"/>
        </w:pict>
      </w:r>
    </w:p>
    <w:p w14:paraId="31A22C68"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TABLE OF CONTENTS</w:t>
      </w:r>
    </w:p>
    <w:p w14:paraId="358E519F"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Introduction</w:t>
      </w:r>
    </w:p>
    <w:p w14:paraId="2FDE1150"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1.1 Background of Biopharmaceutical Manufacturing</w:t>
      </w:r>
    </w:p>
    <w:p w14:paraId="754AE7A7"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1.2 Overview of Biocon Biologics Limited</w:t>
      </w:r>
    </w:p>
    <w:p w14:paraId="55A5D758"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1.3 Introduction to MSAT Department</w:t>
      </w:r>
    </w:p>
    <w:p w14:paraId="5643378A"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1.4 Objectives of the Internship</w:t>
      </w:r>
    </w:p>
    <w:p w14:paraId="6BB68A8A"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Literature Review</w:t>
      </w:r>
    </w:p>
    <w:p w14:paraId="54EDAF11"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2.1 Biopharmaceutical Manufacturing Overview</w:t>
      </w:r>
    </w:p>
    <w:p w14:paraId="3D61FE69"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2.2 Role of MSAT in Product Lifecycle Management</w:t>
      </w:r>
    </w:p>
    <w:p w14:paraId="7369D6D0"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2.3 Upstream and Downstream Processing</w:t>
      </w:r>
    </w:p>
    <w:p w14:paraId="3E62CD25"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2.4 Process Validation Principles</w:t>
      </w:r>
    </w:p>
    <w:p w14:paraId="6F64C75A"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2.5 Regulatory Compliance in Biologics Manufacturing</w:t>
      </w:r>
    </w:p>
    <w:p w14:paraId="0840A968"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lastRenderedPageBreak/>
        <w:t>MSAT Departmental Functions</w:t>
      </w:r>
    </w:p>
    <w:p w14:paraId="33AFA8DD"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3.1 Technology Transfer and Technical Oversight</w:t>
      </w:r>
    </w:p>
    <w:p w14:paraId="74EDF4F5"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3.2 Process Validation Activities</w:t>
      </w:r>
    </w:p>
    <w:p w14:paraId="67DB5090"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3.3 Deviation and OOS Management</w:t>
      </w:r>
    </w:p>
    <w:p w14:paraId="63AEA45D"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3.4 Training and Personnel Development</w:t>
      </w:r>
    </w:p>
    <w:p w14:paraId="3DE46DE2"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3.5 Documentation and Regulatory Support</w:t>
      </w:r>
    </w:p>
    <w:p w14:paraId="7F5858BB"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Bioprocessing Workflow</w:t>
      </w:r>
    </w:p>
    <w:p w14:paraId="7B50F1C5"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4.1 Upstream Processing Operations</w:t>
      </w:r>
    </w:p>
    <w:p w14:paraId="6B580BDF"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4.2 Downstream Processing and Purification</w:t>
      </w:r>
    </w:p>
    <w:p w14:paraId="2BCC6D36"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4.3 Formulation and Fill-Finish Operations</w:t>
      </w:r>
    </w:p>
    <w:p w14:paraId="5C868C8E"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4.4 Quality Control and Analytical Methods</w:t>
      </w:r>
    </w:p>
    <w:p w14:paraId="30CAF88E"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Process Validation and Control</w:t>
      </w:r>
    </w:p>
    <w:p w14:paraId="75AE38AC"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5.1 Process Design and Development</w:t>
      </w:r>
    </w:p>
    <w:p w14:paraId="37C11D90"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5.2 Process Performance Qualification (PPQ)</w:t>
      </w:r>
    </w:p>
    <w:p w14:paraId="0697F98E"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5.3 Continued Process Verification (CPV)</w:t>
      </w:r>
    </w:p>
    <w:p w14:paraId="0F4D60B4"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5.4 Critical Process Parameters and Quality Attributes</w:t>
      </w:r>
    </w:p>
    <w:p w14:paraId="2683A1FF"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Key Learning Experiences and Activities</w:t>
      </w:r>
    </w:p>
    <w:p w14:paraId="22EA8DDA"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6.1 Hands-on Laboratory and Manufacturing Exposure</w:t>
      </w:r>
    </w:p>
    <w:p w14:paraId="1B50B259"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6.2 Documentation and Regulatory Activities</w:t>
      </w:r>
    </w:p>
    <w:p w14:paraId="01D6C51F"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6.3 Cross-functional Collaboration</w:t>
      </w:r>
    </w:p>
    <w:p w14:paraId="2754E000" w14:textId="77777777" w:rsidR="00CC5FBA" w:rsidRPr="00CC5FBA" w:rsidRDefault="00CC5FBA" w:rsidP="00CC5FBA">
      <w:pPr>
        <w:numPr>
          <w:ilvl w:val="1"/>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6.4 Technical Skills Development</w:t>
      </w:r>
    </w:p>
    <w:p w14:paraId="7E221A25"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Conclusion and Future Perspectives</w:t>
      </w:r>
    </w:p>
    <w:p w14:paraId="7D51EC7B" w14:textId="77777777" w:rsidR="00CC5FBA" w:rsidRPr="00CC5FBA" w:rsidRDefault="00CC5FBA" w:rsidP="00CC5FBA">
      <w:pPr>
        <w:numPr>
          <w:ilvl w:val="0"/>
          <w:numId w:val="11"/>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References</w:t>
      </w:r>
    </w:p>
    <w:p w14:paraId="4AEA326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360E4DD0">
          <v:rect id="_x0000_i1115" style="width:0;height:1.5pt" o:hralign="center" o:hrstd="t" o:hr="t" fillcolor="#a0a0a0" stroked="f"/>
        </w:pict>
      </w:r>
    </w:p>
    <w:p w14:paraId="159B8B48"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1: INTRODUCTION</w:t>
      </w:r>
    </w:p>
    <w:p w14:paraId="0B3B0D0B"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1.1 Background of Biopharmaceutical Manufacturing</w:t>
      </w:r>
    </w:p>
    <w:p w14:paraId="7370283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The biopharmaceutical industry represents one of the most rapidly evolving and scientifically sophisticated sectors in modern healthcare, responsible for the development and manufacturing of biological therapeutics that have revolutionized the treatment of numerous </w:t>
      </w:r>
      <w:r w:rsidRPr="00CC5FBA">
        <w:rPr>
          <w:rFonts w:ascii="Times New Roman" w:eastAsia="Times New Roman" w:hAnsi="Times New Roman" w:cs="Times New Roman"/>
          <w:bCs/>
          <w:sz w:val="24"/>
          <w:szCs w:val="24"/>
          <w:lang w:val="en-IN"/>
        </w:rPr>
        <w:lastRenderedPageBreak/>
        <w:t>diseases including cancer, autoimmune disorders, metabolic diseases, and infectious diseases (Walsh, 2018). Unlike traditional small molecule drugs that are chemically synthesized, biopharmaceuticals are complex molecules produced through biotechnological processes utilizing living cells as production systems (Rathore et al., 2022).</w:t>
      </w:r>
    </w:p>
    <w:p w14:paraId="30C3182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foundation of modern biopharmaceutical manufacturing was established following the discovery of the DNA double helix structure by Watson and Crick in 1953, which paved the way for recombinant DNA technology and genetic engineering advances in the 1970s (Huang et al., 2012). The approval of recombinant human insulin in 1982 marked the beginning of the biotechnology era, demonstrating that living organisms could be engineered to produce human therapeutic proteins at commercial scale (Wurm &amp; Hacker, 2011). Since then, the biopharmaceutical industry has expanded dramatically, with monoclonal antibodies, recombinant proteins, vaccines, and biosimilars becoming standard therapeutic options for millions of patients worldwide.</w:t>
      </w:r>
    </w:p>
    <w:p w14:paraId="4781572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Biopharmaceutical manufacturing is fundamentally different from traditional pharmaceutical production due to the complexity of biological systems involved (Lara et al., 2019). The production process typically involves cultivating genetically engineered mammalian, bacterial, or yeast cells in sophisticated bioreactor systems under precisely controlled conditions, followed by extensive purification procedures to isolate and concentrate the target therapeutic protein while removing cellular debris, process-related impurities, and potential contaminants (Doran, 2013). The inherent variability of biological systems, the sensitivity of protein molecules to environmental conditions, and the stringent regulatory requirements for product quality and safety make biopharmaceutical manufacturing one of the most technically challenging and highly regulated manufacturing operations in any industry (Shuler &amp; Kargi, 2017).</w:t>
      </w:r>
    </w:p>
    <w:p w14:paraId="47F9FAC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complexity of biologics manufacturing necessitates sophisticated process control systems, extensive validation activities, and comprehensive quality assurance programs to ensure that every batch of product meets predetermined specifications for identity, purity, potency, and safety (Stanbury et al., 2017). Modern biopharmaceutical facilities incorporate advanced automation systems, real-time process monitoring technologies, and data analytics platforms to maintain process control and ensure reproducibility across manufacturing campaigns (Buchholz et al., 2021). The integration of Process Analytical Technology (PAT) and Quality by Design (</w:t>
      </w:r>
      <w:proofErr w:type="spellStart"/>
      <w:r w:rsidRPr="00CC5FBA">
        <w:rPr>
          <w:rFonts w:ascii="Times New Roman" w:eastAsia="Times New Roman" w:hAnsi="Times New Roman" w:cs="Times New Roman"/>
          <w:bCs/>
          <w:sz w:val="24"/>
          <w:szCs w:val="24"/>
          <w:lang w:val="en-IN"/>
        </w:rPr>
        <w:t>QbD</w:t>
      </w:r>
      <w:proofErr w:type="spellEnd"/>
      <w:r w:rsidRPr="00CC5FBA">
        <w:rPr>
          <w:rFonts w:ascii="Times New Roman" w:eastAsia="Times New Roman" w:hAnsi="Times New Roman" w:cs="Times New Roman"/>
          <w:bCs/>
          <w:sz w:val="24"/>
          <w:szCs w:val="24"/>
          <w:lang w:val="en-IN"/>
        </w:rPr>
        <w:t>) principles has further enhanced process understanding and control capabilities, enabling manufacturers to produce biologics with consistent quality attributes while optimizing productivity and reducing manufacturing costs (Rathore, 2009).</w:t>
      </w:r>
    </w:p>
    <w:p w14:paraId="5C160B7E"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1.2 Overview of Biocon Biologics Limited</w:t>
      </w:r>
    </w:p>
    <w:p w14:paraId="54C3B5E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Biocon Biologics Limited, a subsidiary of Biocon Limited, stands as one of the world's leading fully integrated biosimilars companies, committed to transforming patient access to advanced biological therapies through affordable, high-quality biosimilar products. The company operates state-of-the-art manufacturing facilities equipped with advanced </w:t>
      </w:r>
      <w:r w:rsidRPr="00CC5FBA">
        <w:rPr>
          <w:rFonts w:ascii="Times New Roman" w:eastAsia="Times New Roman" w:hAnsi="Times New Roman" w:cs="Times New Roman"/>
          <w:bCs/>
          <w:sz w:val="24"/>
          <w:szCs w:val="24"/>
          <w:lang w:val="en-IN"/>
        </w:rPr>
        <w:lastRenderedPageBreak/>
        <w:t xml:space="preserve">bioprocessing technologies capable of producing monoclonal antibodies, recombinant proteins, and insulin </w:t>
      </w:r>
      <w:proofErr w:type="spellStart"/>
      <w:r w:rsidRPr="00CC5FBA">
        <w:rPr>
          <w:rFonts w:ascii="Times New Roman" w:eastAsia="Times New Roman" w:hAnsi="Times New Roman" w:cs="Times New Roman"/>
          <w:bCs/>
          <w:sz w:val="24"/>
          <w:szCs w:val="24"/>
          <w:lang w:val="en-IN"/>
        </w:rPr>
        <w:t>analogs</w:t>
      </w:r>
      <w:proofErr w:type="spellEnd"/>
      <w:r w:rsidRPr="00CC5FBA">
        <w:rPr>
          <w:rFonts w:ascii="Times New Roman" w:eastAsia="Times New Roman" w:hAnsi="Times New Roman" w:cs="Times New Roman"/>
          <w:bCs/>
          <w:sz w:val="24"/>
          <w:szCs w:val="24"/>
          <w:lang w:val="en-IN"/>
        </w:rPr>
        <w:t xml:space="preserve"> at commercial scale for global markets.</w:t>
      </w:r>
    </w:p>
    <w:p w14:paraId="7325D2D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Biocon Biologics' commitment to quality, innovation, and regulatory compliance has earned approvals from stringent regulatory authorities including the US Food and Drug Administration (FDA), European Medicines Agency (EMA), and other regulatory bodies worldwide. The company's manufacturing operations adhere to current Good Manufacturing Practice (cGMP) regulations and maintain certifications from multiple international regulatory agencies, demonstrating its capability to consistently produce biopharmaceutical products that meet the highest quality standards.</w:t>
      </w:r>
    </w:p>
    <w:p w14:paraId="0D16EC0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organization's manufacturing capabilities span the entire biologics production value chain, from cell line development and process optimization in R&amp;D laboratories through pilot-scale production in process development facilities to full commercial-scale manufacturing in validated production suites. This integrated approach enables efficient technology transfer, rapid scale-up of new products, and continuous process improvement initiatives that enhance productivity while maintaining product quality (Zhang et al., 2020).</w:t>
      </w:r>
    </w:p>
    <w:p w14:paraId="4369CC0B"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1.3 Introduction to MSAT Department</w:t>
      </w:r>
    </w:p>
    <w:p w14:paraId="4CC5935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Manufacturing Science and Technology (MSAT) department at Biocon Biologics Limited occupies a critical strategic position within the organization, serving as the essential technical bridge between Research &amp; Development activities and Commercial Manufacturing operations. MSAT's fundamental mission is to ensure that processes developed at laboratory scale can be successfully scaled up, validated, and implemented at commercial manufacturing scale while maintaining product quality, ensuring regulatory compliance, and optimizing operational efficiency (Konstantinov &amp; Cooney, 2015).</w:t>
      </w:r>
    </w:p>
    <w:p w14:paraId="52B3610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MSAT department's responsibilities encompass a comprehensive range of technical activities that support the entire product lifecycle from initial technology transfer through ongoing commercial manufacturing support. These activities include receiving processes from R&amp;D and adapting them for commercial-scale equipment and facilities, developing and executing comprehensive validation strategies for processes, cleaning procedures, analytical methods, and manufacturing equipment, investigating deviations from established procedures and out-of-specification analytical results, implementing Corrective and Preventive Actions (CAPA) to address root causes and prevent recurrence, developing and delivering training programs for manufacturing personnel, providing technical troubleshooting support for manufacturing operations, supporting regulatory submissions and inspections with technical documentation and expertise, and driving continuous improvement initiatives to optimize process performance, reduce costs, and enhance product quality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469E284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The MSAT team comprises highly trained scientists and engineers with expertise spanning molecular biology, biochemistry, microbiology, chemical engineering, analytical chemistry, statistics, and regulatory affairs. This multidisciplinary expertise enables MSAT to address complex technical challenges that arise during technology transfer, scale-up, validation, and </w:t>
      </w:r>
      <w:r w:rsidRPr="00CC5FBA">
        <w:rPr>
          <w:rFonts w:ascii="Times New Roman" w:eastAsia="Times New Roman" w:hAnsi="Times New Roman" w:cs="Times New Roman"/>
          <w:bCs/>
          <w:sz w:val="24"/>
          <w:szCs w:val="24"/>
          <w:lang w:val="en-IN"/>
        </w:rPr>
        <w:lastRenderedPageBreak/>
        <w:t>commercial manufacturing while ensuring compliance with stringent regulatory requirements established by global health authorities (Schenk et al., 2015).</w:t>
      </w:r>
    </w:p>
    <w:p w14:paraId="3C7B0FD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In the context of biologics manufacturing, where product quality is intimately linked to the manufacturing process, MSAT plays </w:t>
      </w:r>
      <w:proofErr w:type="gramStart"/>
      <w:r w:rsidRPr="00CC5FBA">
        <w:rPr>
          <w:rFonts w:ascii="Times New Roman" w:eastAsia="Times New Roman" w:hAnsi="Times New Roman" w:cs="Times New Roman"/>
          <w:bCs/>
          <w:sz w:val="24"/>
          <w:szCs w:val="24"/>
          <w:lang w:val="en-IN"/>
        </w:rPr>
        <w:t>an absolutely critical</w:t>
      </w:r>
      <w:proofErr w:type="gramEnd"/>
      <w:r w:rsidRPr="00CC5FBA">
        <w:rPr>
          <w:rFonts w:ascii="Times New Roman" w:eastAsia="Times New Roman" w:hAnsi="Times New Roman" w:cs="Times New Roman"/>
          <w:bCs/>
          <w:sz w:val="24"/>
          <w:szCs w:val="24"/>
          <w:lang w:val="en-IN"/>
        </w:rPr>
        <w:t xml:space="preserve"> role in establishing and maintaining process control strategies that ensure consistent production of safe, effective therapeutic products (Lopes et al., 2023). The department's activities directly impact product availability, manufacturing costs, regulatory compliance status, and ultimately patient access to important biological therapies.</w:t>
      </w:r>
    </w:p>
    <w:p w14:paraId="581C91B6"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1.4 Objectives of the Internship</w:t>
      </w:r>
    </w:p>
    <w:p w14:paraId="5B0ED9B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This internship at Biocon Biologics Limited was undertaken with the primary objective of gaining comprehensive practical knowledge and hands-on experience in biopharmaceutical manufacturing operations, with particular focus on Manufacturing Science and Technology (MSAT) functions that support product lifecycle management from technology transfer through commercial production.</w:t>
      </w:r>
    </w:p>
    <w:p w14:paraId="63C24EB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The specific objectives of this internship were:</w:t>
      </w:r>
    </w:p>
    <w:p w14:paraId="3051ABA7"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understand the principles, workflow, and operational aspects of biopharmaceutical manufacturing</w:t>
      </w:r>
      <w:r w:rsidRPr="00CC5FBA">
        <w:rPr>
          <w:rFonts w:ascii="Times New Roman" w:eastAsia="Times New Roman" w:hAnsi="Times New Roman" w:cs="Times New Roman"/>
          <w:bCs/>
          <w:sz w:val="24"/>
          <w:szCs w:val="24"/>
          <w:lang w:val="en-IN"/>
        </w:rPr>
        <w:t xml:space="preserve"> with emphasis on upstream processing (cell culture and fermentation), downstream processing (purification and concentration), formulation development, and fill-finish operations for biological drug products.</w:t>
      </w:r>
    </w:p>
    <w:p w14:paraId="4832E6DB"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gain practical experience in process validation activities</w:t>
      </w:r>
      <w:r w:rsidRPr="00CC5FBA">
        <w:rPr>
          <w:rFonts w:ascii="Times New Roman" w:eastAsia="Times New Roman" w:hAnsi="Times New Roman" w:cs="Times New Roman"/>
          <w:bCs/>
          <w:sz w:val="24"/>
          <w:szCs w:val="24"/>
          <w:lang w:val="en-IN"/>
        </w:rPr>
        <w:t xml:space="preserve"> including Process Design, Process Performance Qualification (PPQ), and Continued Process Verification (CPV), understanding how validation studies are planned, executed, and documented to demonstrate process capability and regulatory compliance.</w:t>
      </w:r>
    </w:p>
    <w:p w14:paraId="63CF3A72"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develop competency in documentation practices</w:t>
      </w:r>
      <w:r w:rsidRPr="00CC5FBA">
        <w:rPr>
          <w:rFonts w:ascii="Times New Roman" w:eastAsia="Times New Roman" w:hAnsi="Times New Roman" w:cs="Times New Roman"/>
          <w:bCs/>
          <w:sz w:val="24"/>
          <w:szCs w:val="24"/>
          <w:lang w:val="en-IN"/>
        </w:rPr>
        <w:t xml:space="preserve"> required for cGMP compliance, including preparation and review of Batch Manufacturing Records (BMR), Master Production Records (MPR), Standard Operating Procedures (SOP), deviation reports, Change Control Records (CCR), and validation protocols and reports.</w:t>
      </w:r>
    </w:p>
    <w:p w14:paraId="20020DEB"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participate in deviation investigations and root cause analysis activities</w:t>
      </w:r>
      <w:r w:rsidRPr="00CC5FBA">
        <w:rPr>
          <w:rFonts w:ascii="Times New Roman" w:eastAsia="Times New Roman" w:hAnsi="Times New Roman" w:cs="Times New Roman"/>
          <w:bCs/>
          <w:sz w:val="24"/>
          <w:szCs w:val="24"/>
          <w:lang w:val="en-IN"/>
        </w:rPr>
        <w:t>, learning systematic approaches to identifying causes of manufacturing deviations and out-of-specification results, and developing effective Corrective and Preventive Actions (CAPA).</w:t>
      </w:r>
    </w:p>
    <w:p w14:paraId="09DCB66F"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understand technology transfer processes</w:t>
      </w:r>
      <w:r w:rsidRPr="00CC5FBA">
        <w:rPr>
          <w:rFonts w:ascii="Times New Roman" w:eastAsia="Times New Roman" w:hAnsi="Times New Roman" w:cs="Times New Roman"/>
          <w:bCs/>
          <w:sz w:val="24"/>
          <w:szCs w:val="24"/>
          <w:lang w:val="en-IN"/>
        </w:rPr>
        <w:t xml:space="preserve"> from R&amp;D to commercial manufacturing, including the preparation of Tech Transfer Documents (TTD), assessment of manufacturing feasibility, identification of scale-up challenges, and implementation of process adaptations for commercial-scale equipment.</w:t>
      </w:r>
    </w:p>
    <w:p w14:paraId="734F6D6E"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gain exposure to analytical methods and quality control testing</w:t>
      </w:r>
      <w:r w:rsidRPr="00CC5FBA">
        <w:rPr>
          <w:rFonts w:ascii="Times New Roman" w:eastAsia="Times New Roman" w:hAnsi="Times New Roman" w:cs="Times New Roman"/>
          <w:bCs/>
          <w:sz w:val="24"/>
          <w:szCs w:val="24"/>
          <w:lang w:val="en-IN"/>
        </w:rPr>
        <w:t xml:space="preserve"> used to monitor process performance and verify product quality, including </w:t>
      </w:r>
      <w:r w:rsidRPr="00CC5FBA">
        <w:rPr>
          <w:rFonts w:ascii="Times New Roman" w:eastAsia="Times New Roman" w:hAnsi="Times New Roman" w:cs="Times New Roman"/>
          <w:bCs/>
          <w:sz w:val="24"/>
          <w:szCs w:val="24"/>
          <w:lang w:val="en-IN"/>
        </w:rPr>
        <w:lastRenderedPageBreak/>
        <w:t>spectrophotometric methods, chromatographic techniques, and other analytical procedures critical for process understanding and control.</w:t>
      </w:r>
    </w:p>
    <w:p w14:paraId="4925FC23"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develop understanding of regulatory requirements</w:t>
      </w:r>
      <w:r w:rsidRPr="00CC5FBA">
        <w:rPr>
          <w:rFonts w:ascii="Times New Roman" w:eastAsia="Times New Roman" w:hAnsi="Times New Roman" w:cs="Times New Roman"/>
          <w:bCs/>
          <w:sz w:val="24"/>
          <w:szCs w:val="24"/>
          <w:lang w:val="en-IN"/>
        </w:rPr>
        <w:t xml:space="preserve"> governing biopharmaceutical manufacturing, including FDA and EMA guidelines for biologics production, validation expectations, and documentation standards that support regulatory submissions and inspections.</w:t>
      </w:r>
    </w:p>
    <w:p w14:paraId="5146A933"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enhance cross-functional collaboration skills</w:t>
      </w:r>
      <w:r w:rsidRPr="00CC5FBA">
        <w:rPr>
          <w:rFonts w:ascii="Times New Roman" w:eastAsia="Times New Roman" w:hAnsi="Times New Roman" w:cs="Times New Roman"/>
          <w:bCs/>
          <w:sz w:val="24"/>
          <w:szCs w:val="24"/>
          <w:lang w:val="en-IN"/>
        </w:rPr>
        <w:t xml:space="preserve"> through interactions with Quality Assurance, Quality Control, Manufacturing Operations, Regulatory Affairs, and other departments, understanding how different functions coordinate to ensure product quality and regulatory compliance.</w:t>
      </w:r>
    </w:p>
    <w:p w14:paraId="1ED5E53E"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apply theoretical knowledge gained through academic coursework</w:t>
      </w:r>
      <w:r w:rsidRPr="00CC5FBA">
        <w:rPr>
          <w:rFonts w:ascii="Times New Roman" w:eastAsia="Times New Roman" w:hAnsi="Times New Roman" w:cs="Times New Roman"/>
          <w:bCs/>
          <w:sz w:val="24"/>
          <w:szCs w:val="24"/>
          <w:lang w:val="en-IN"/>
        </w:rPr>
        <w:t xml:space="preserve"> to real-world industrial challenges, bridging the gap between classroom learning and practical manufacturing operations in a highly regulated industry environment.</w:t>
      </w:r>
    </w:p>
    <w:p w14:paraId="0EC83B97" w14:textId="77777777" w:rsidR="00CC5FBA" w:rsidRPr="00CC5FBA" w:rsidRDefault="00CC5FBA" w:rsidP="00CC5FBA">
      <w:pPr>
        <w:numPr>
          <w:ilvl w:val="0"/>
          <w:numId w:val="12"/>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To develop professional competencies</w:t>
      </w:r>
      <w:r w:rsidRPr="00CC5FBA">
        <w:rPr>
          <w:rFonts w:ascii="Times New Roman" w:eastAsia="Times New Roman" w:hAnsi="Times New Roman" w:cs="Times New Roman"/>
          <w:bCs/>
          <w:sz w:val="24"/>
          <w:szCs w:val="24"/>
          <w:lang w:val="en-IN"/>
        </w:rPr>
        <w:t xml:space="preserve"> including attention to detail, scientific rigor, problem-solving abilities, technical communication skills, and understanding of workplace safety and quality culture essential for careers in the biopharmaceutical industry.</w:t>
      </w:r>
    </w:p>
    <w:p w14:paraId="32A2CEF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Through achieving these objectives, this internship provided invaluable preparation for a professional career in biopharmaceutical manufacturing, process development, quality assurance, regulatory affairs, or related technical functions within the biotechnology and pharmaceutical sectors.</w:t>
      </w:r>
    </w:p>
    <w:p w14:paraId="2AE9F18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5DCBE79F">
          <v:rect id="_x0000_i1116" style="width:0;height:1.5pt" o:hralign="center" o:hrstd="t" o:hr="t" fillcolor="#a0a0a0" stroked="f"/>
        </w:pict>
      </w:r>
    </w:p>
    <w:p w14:paraId="6BE2C8AA"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2: LITERATURE REVIEW</w:t>
      </w:r>
    </w:p>
    <w:p w14:paraId="763903B0"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2.1 Biopharmaceutical Manufacturing Overview</w:t>
      </w:r>
    </w:p>
    <w:p w14:paraId="044F605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Biopharmaceutical manufacturing represents a sophisticated convergence of biological sciences, chemical engineering, and quality management principles applied to the production of therapeutic proteins, monoclonal antibodies, vaccines, and other biological drug products (Doran, 2013). The manufacturing process can be conceptually divided into three major operational phases: upstream processing, downstream processing, and formulation/fill-finish, each requiring specialized equipment, expertise, and control strategies (Shuler &amp; Kargi, 2017).</w:t>
      </w:r>
    </w:p>
    <w:p w14:paraId="7430992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Upstream Processing</w:t>
      </w:r>
      <w:r w:rsidRPr="00CC5FBA">
        <w:rPr>
          <w:rFonts w:ascii="Times New Roman" w:eastAsia="Times New Roman" w:hAnsi="Times New Roman" w:cs="Times New Roman"/>
          <w:bCs/>
          <w:sz w:val="24"/>
          <w:szCs w:val="24"/>
          <w:lang w:val="en-IN"/>
        </w:rPr>
        <w:t xml:space="preserve"> encompasses all activities related to establishing and expanding cell cultures that produce the target therapeutic protein. This phase begins with thawing of cryopreserved cell banks, typically Master Cell Banks (MCB) and Working Cell Banks (WCB) that have been extensively characterized and tested for identity, purity, and freedom from adventitious agents (Jayapal et al., 2007). Small-scale seed cultures are progressively expanded through seed train bioreactors of increasing volumes until sufficient cell density is </w:t>
      </w:r>
      <w:r w:rsidRPr="00CC5FBA">
        <w:rPr>
          <w:rFonts w:ascii="Times New Roman" w:eastAsia="Times New Roman" w:hAnsi="Times New Roman" w:cs="Times New Roman"/>
          <w:bCs/>
          <w:sz w:val="24"/>
          <w:szCs w:val="24"/>
          <w:lang w:val="en-IN"/>
        </w:rPr>
        <w:lastRenderedPageBreak/>
        <w:t xml:space="preserve">achieved for inoculation of production-scale bioreactors, which may have working volumes ranging from hundreds to tens of thousands of </w:t>
      </w:r>
      <w:proofErr w:type="spellStart"/>
      <w:r w:rsidRPr="00CC5FBA">
        <w:rPr>
          <w:rFonts w:ascii="Times New Roman" w:eastAsia="Times New Roman" w:hAnsi="Times New Roman" w:cs="Times New Roman"/>
          <w:bCs/>
          <w:sz w:val="24"/>
          <w:szCs w:val="24"/>
          <w:lang w:val="en-IN"/>
        </w:rPr>
        <w:t>liters</w:t>
      </w:r>
      <w:proofErr w:type="spellEnd"/>
      <w:r w:rsidRPr="00CC5FBA">
        <w:rPr>
          <w:rFonts w:ascii="Times New Roman" w:eastAsia="Times New Roman" w:hAnsi="Times New Roman" w:cs="Times New Roman"/>
          <w:bCs/>
          <w:sz w:val="24"/>
          <w:szCs w:val="24"/>
          <w:lang w:val="en-IN"/>
        </w:rPr>
        <w:t xml:space="preserve"> (Garcia-Ochoa &amp; Gomez, 2009).</w:t>
      </w:r>
    </w:p>
    <w:p w14:paraId="076FCD4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production bioreactor provides a carefully controlled environment where cells are maintained under optimal conditions for growth and protein production. Critical process parameters including temperature, pH, dissolved oxygen, agitation rate, and nutrient feeding strategies are continuously monitored and controlled to maintain cells in desired metabolic states and maximize productivity (Li et al., 2019). Modern bioreactor control systems incorporate cascade control algorithms, real-time data logging, and alarm systems that ensure process parameters remain within validated ranges throughout the culture period, which may extend from several days to several weeks depending on the production strategy employed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6721DBB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Cell culture media formulations are carefully designed to provide all nutrients required for cell growth and protein production, including carbon sources (typically glucose or galactose), amino acids, vitamins, trace elements, lipids, and growth factors (Sarkar et al., 2016). Fed-batch and perfusion culture strategies involve periodic or continuous addition of concentrated nutrient feeds to maintain optimal concentrations of limiting nutrients while avoiding accumulation of inhibitory metabolic by-products such as lactate and ammonia (</w:t>
      </w:r>
      <w:proofErr w:type="spellStart"/>
      <w:r w:rsidRPr="00CC5FBA">
        <w:rPr>
          <w:rFonts w:ascii="Times New Roman" w:eastAsia="Times New Roman" w:hAnsi="Times New Roman" w:cs="Times New Roman"/>
          <w:bCs/>
          <w:sz w:val="24"/>
          <w:szCs w:val="24"/>
          <w:lang w:val="en-IN"/>
        </w:rPr>
        <w:t>Yamanè</w:t>
      </w:r>
      <w:proofErr w:type="spellEnd"/>
      <w:r w:rsidRPr="00CC5FBA">
        <w:rPr>
          <w:rFonts w:ascii="Times New Roman" w:eastAsia="Times New Roman" w:hAnsi="Times New Roman" w:cs="Times New Roman"/>
          <w:bCs/>
          <w:sz w:val="24"/>
          <w:szCs w:val="24"/>
          <w:lang w:val="en-IN"/>
        </w:rPr>
        <w:t xml:space="preserve"> &amp; Shimizu, 1984). Media optimization represents a critical aspect of process development, as media composition directly impacts cell viability, specific productivity, product quality attributes, and manufacturing economics (Valgepea et al., 2017).</w:t>
      </w:r>
    </w:p>
    <w:p w14:paraId="18F65ED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Downstream Processing</w:t>
      </w:r>
      <w:r w:rsidRPr="00CC5FBA">
        <w:rPr>
          <w:rFonts w:ascii="Times New Roman" w:eastAsia="Times New Roman" w:hAnsi="Times New Roman" w:cs="Times New Roman"/>
          <w:bCs/>
          <w:sz w:val="24"/>
          <w:szCs w:val="24"/>
          <w:lang w:val="en-IN"/>
        </w:rPr>
        <w:t xml:space="preserve"> begins with harvest operations that separate cells and cellular debris from the culture medium containing the secreted therapeutic protein. Harvest typically involves centrifugation or depth filtration to clarify the culture broth, followed by additional filtration steps to ensure complete removal of particulate matter (Doran, 2013). The clarified harvest material is then subjected to a series of chromatographic purification steps designed to isolate the target protein while removing process-related impurities including host cell proteins, DNA, media components, and product-related impurities such as aggregates, fragments, and charge variants (Stanbury et al., 2017).</w:t>
      </w:r>
    </w:p>
    <w:p w14:paraId="3EA1E8E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A typical monoclonal antibody purification process might include Protein </w:t>
      </w:r>
      <w:proofErr w:type="spellStart"/>
      <w:r w:rsidRPr="00CC5FBA">
        <w:rPr>
          <w:rFonts w:ascii="Times New Roman" w:eastAsia="Times New Roman" w:hAnsi="Times New Roman" w:cs="Times New Roman"/>
          <w:bCs/>
          <w:sz w:val="24"/>
          <w:szCs w:val="24"/>
          <w:lang w:val="en-IN"/>
        </w:rPr>
        <w:t>A</w:t>
      </w:r>
      <w:proofErr w:type="spellEnd"/>
      <w:r w:rsidRPr="00CC5FBA">
        <w:rPr>
          <w:rFonts w:ascii="Times New Roman" w:eastAsia="Times New Roman" w:hAnsi="Times New Roman" w:cs="Times New Roman"/>
          <w:bCs/>
          <w:sz w:val="24"/>
          <w:szCs w:val="24"/>
          <w:lang w:val="en-IN"/>
        </w:rPr>
        <w:t xml:space="preserve"> affinity chromatography for initial capture, which exploits the specific binding interaction between Protein A ligands and the Fc region of antibodies to achieve high selectivity and yield in a single step (Huang et al., 2012). Subsequent polishing steps using ion exchange chromatography and hydrophobic interaction chromatography further reduce impurity levels while also removing potential viral contaminants and product variants that could affect safety or efficacy (Cereghino &amp; Cregg, 2000). Viral inactivation and removal steps, typically including low pH treatment and virus filtration, are incorporated to ensure product safety and meet regulatory expectations for viral clearance (Walsh, 2018).</w:t>
      </w:r>
    </w:p>
    <w:p w14:paraId="64719F1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Following chromatographic purification, concentration and buffer exchange operations using ultrafiltration and diafiltration prepare the purified protein for formulation by adjusting protein concentration to target levels and exchanging the buffer to formulation buffer </w:t>
      </w:r>
      <w:r w:rsidRPr="00CC5FBA">
        <w:rPr>
          <w:rFonts w:ascii="Times New Roman" w:eastAsia="Times New Roman" w:hAnsi="Times New Roman" w:cs="Times New Roman"/>
          <w:bCs/>
          <w:sz w:val="24"/>
          <w:szCs w:val="24"/>
          <w:lang w:val="en-IN"/>
        </w:rPr>
        <w:lastRenderedPageBreak/>
        <w:t>composition (Wurm &amp; Hacker, 2011). The resulting Drug Substance, representing the purified active pharmaceutical ingredient, is subjected to extensive analytical testing to confirm identity, purity, potency, and conformance to predetermined specifications before being released for formulation operations (Rathore et al., 2022).</w:t>
      </w:r>
    </w:p>
    <w:p w14:paraId="75F225A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Formulation and Fill-Finish</w:t>
      </w:r>
      <w:r w:rsidRPr="00CC5FBA">
        <w:rPr>
          <w:rFonts w:ascii="Times New Roman" w:eastAsia="Times New Roman" w:hAnsi="Times New Roman" w:cs="Times New Roman"/>
          <w:bCs/>
          <w:sz w:val="24"/>
          <w:szCs w:val="24"/>
          <w:lang w:val="en-IN"/>
        </w:rPr>
        <w:t xml:space="preserve"> </w:t>
      </w:r>
      <w:proofErr w:type="gramStart"/>
      <w:r w:rsidRPr="00CC5FBA">
        <w:rPr>
          <w:rFonts w:ascii="Times New Roman" w:eastAsia="Times New Roman" w:hAnsi="Times New Roman" w:cs="Times New Roman"/>
          <w:bCs/>
          <w:sz w:val="24"/>
          <w:szCs w:val="24"/>
          <w:lang w:val="en-IN"/>
        </w:rPr>
        <w:t>represents</w:t>
      </w:r>
      <w:proofErr w:type="gramEnd"/>
      <w:r w:rsidRPr="00CC5FBA">
        <w:rPr>
          <w:rFonts w:ascii="Times New Roman" w:eastAsia="Times New Roman" w:hAnsi="Times New Roman" w:cs="Times New Roman"/>
          <w:bCs/>
          <w:sz w:val="24"/>
          <w:szCs w:val="24"/>
          <w:lang w:val="en-IN"/>
        </w:rPr>
        <w:t xml:space="preserve"> the final phase of biologics manufacturing, where Drug Substance is formulated with excipients and stabilizers to create a Drug Product with desired stability characteristics and shelf life (Zhang et al., 2020). Formulation development requires careful selection of buffer systems, stabilizers (such as sucrose or trehalose), surfactants (such as polysorbate), and preservatives when applicable, with extensive stability studies conducted to demonstrate that the formulation maintains product quality throughout its intended shelf life under specified storage conditions (Konstantinov &amp; Cooney, 2015).</w:t>
      </w:r>
    </w:p>
    <w:p w14:paraId="659A624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formulated Drug Product is filled into primary containers such as glass vials, pre-filled syringes, or auto-injector devices under strictly aseptic conditions in Grade A laminar flow environments within Grade B cleanrooms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Aseptic filling operations require extensive environmental monitoring, personnel training, and process validation to ensure that sterility is maintained throughout filling operations (Schenk et al., 2015). Following filling, containers are inspected for defects, </w:t>
      </w:r>
      <w:proofErr w:type="spellStart"/>
      <w:r w:rsidRPr="00CC5FBA">
        <w:rPr>
          <w:rFonts w:ascii="Times New Roman" w:eastAsia="Times New Roman" w:hAnsi="Times New Roman" w:cs="Times New Roman"/>
          <w:bCs/>
          <w:sz w:val="24"/>
          <w:szCs w:val="24"/>
          <w:lang w:val="en-IN"/>
        </w:rPr>
        <w:t>labeled</w:t>
      </w:r>
      <w:proofErr w:type="spellEnd"/>
      <w:r w:rsidRPr="00CC5FBA">
        <w:rPr>
          <w:rFonts w:ascii="Times New Roman" w:eastAsia="Times New Roman" w:hAnsi="Times New Roman" w:cs="Times New Roman"/>
          <w:bCs/>
          <w:sz w:val="24"/>
          <w:szCs w:val="24"/>
          <w:lang w:val="en-IN"/>
        </w:rPr>
        <w:t>, and packaged for distribution to healthcare providers and patients (Lopes et al., 2023).</w:t>
      </w:r>
    </w:p>
    <w:p w14:paraId="6EB876FC"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2.2 Role of MSAT in Product Lifecycle Management</w:t>
      </w:r>
    </w:p>
    <w:p w14:paraId="35B988C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Manufacturing Science and Technology departments emerged as distinct functional organizations within biopharmaceutical companies in response to the growing complexity of biologics manufacturing and the need for specialized technical expertise to support technology transfer, scale-up, validation, and commercial manufacturing troubleshooting (Rathore, 2009). MSAT's position at the interface between R&amp;D and Manufacturing Operations creates unique responsibilities and requires personnel with combined scientific knowledge, engineering expertise, and practical manufacturing experience (Buchholz et al., 2021).</w:t>
      </w:r>
    </w:p>
    <w:p w14:paraId="29C1DFA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Technology Transfer</w:t>
      </w:r>
      <w:r w:rsidRPr="00CC5FBA">
        <w:rPr>
          <w:rFonts w:ascii="Times New Roman" w:eastAsia="Times New Roman" w:hAnsi="Times New Roman" w:cs="Times New Roman"/>
          <w:bCs/>
          <w:sz w:val="24"/>
          <w:szCs w:val="24"/>
          <w:lang w:val="en-IN"/>
        </w:rPr>
        <w:t xml:space="preserve"> represents one of MSAT's most critical functions, involving the systematic transfer of manufacturing processes from laboratory-scale development or pilot-scale demonstration to commercial-scale production facilities (</w:t>
      </w:r>
      <w:proofErr w:type="spellStart"/>
      <w:r w:rsidRPr="00CC5FBA">
        <w:rPr>
          <w:rFonts w:ascii="Times New Roman" w:eastAsia="Times New Roman" w:hAnsi="Times New Roman" w:cs="Times New Roman"/>
          <w:bCs/>
          <w:sz w:val="24"/>
          <w:szCs w:val="24"/>
          <w:lang w:val="en-IN"/>
        </w:rPr>
        <w:t>Enfors</w:t>
      </w:r>
      <w:proofErr w:type="spellEnd"/>
      <w:r w:rsidRPr="00CC5FBA">
        <w:rPr>
          <w:rFonts w:ascii="Times New Roman" w:eastAsia="Times New Roman" w:hAnsi="Times New Roman" w:cs="Times New Roman"/>
          <w:bCs/>
          <w:sz w:val="24"/>
          <w:szCs w:val="24"/>
          <w:lang w:val="en-IN"/>
        </w:rPr>
        <w:t xml:space="preserve"> et al., 2001). Successful technology transfer requires thorough documentation of process parameters, raw material specifications, analytical methods, and control strategies developed during process development, typically compiled in comprehensive Tech Transfer Documents (TTD) or Technology Transfer Protocols (Lee et al., 2020). MSAT scientists work closely with Process Development teams to understand the scientific rationale behind process design decisions, identify Critical Process Parameters (CPPs) and Critical Quality Attributes (CQAs), and determine acceptable ranges for process variables based on process characterization studies conducted during development (Valgepea et al., 2017).</w:t>
      </w:r>
    </w:p>
    <w:p w14:paraId="0DAD4EC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Scale-up represents a particular challenge in technology transfer, as physical and engineering parameters such as mixing efficiency, oxygen transfer rates, heat transfer characteristics, and </w:t>
      </w:r>
      <w:r w:rsidRPr="00CC5FBA">
        <w:rPr>
          <w:rFonts w:ascii="Times New Roman" w:eastAsia="Times New Roman" w:hAnsi="Times New Roman" w:cs="Times New Roman"/>
          <w:bCs/>
          <w:sz w:val="24"/>
          <w:szCs w:val="24"/>
          <w:lang w:val="en-IN"/>
        </w:rPr>
        <w:lastRenderedPageBreak/>
        <w:t>shear forces scale differently with bioreactor volume (Garcia-Ochoa et al., 2010). MSAT engineers apply principles of dimensional analysis and scale-up theory to maintain equivalent conditions across scales, often utilizing parameters such as power input per volume, tip speed, or oxygen transfer coefficient (</w:t>
      </w:r>
      <w:proofErr w:type="spellStart"/>
      <w:r w:rsidRPr="00CC5FBA">
        <w:rPr>
          <w:rFonts w:ascii="Times New Roman" w:eastAsia="Times New Roman" w:hAnsi="Times New Roman" w:cs="Times New Roman"/>
          <w:bCs/>
          <w:sz w:val="24"/>
          <w:szCs w:val="24"/>
          <w:lang w:val="en-IN"/>
        </w:rPr>
        <w:t>kLa</w:t>
      </w:r>
      <w:proofErr w:type="spellEnd"/>
      <w:r w:rsidRPr="00CC5FBA">
        <w:rPr>
          <w:rFonts w:ascii="Times New Roman" w:eastAsia="Times New Roman" w:hAnsi="Times New Roman" w:cs="Times New Roman"/>
          <w:bCs/>
          <w:sz w:val="24"/>
          <w:szCs w:val="24"/>
          <w:lang w:val="en-IN"/>
        </w:rPr>
        <w:t xml:space="preserve">) as scale-up criteria (Li et al., 2019). Computational Fluid Dynamics (CFD) </w:t>
      </w:r>
      <w:proofErr w:type="spellStart"/>
      <w:r w:rsidRPr="00CC5FBA">
        <w:rPr>
          <w:rFonts w:ascii="Times New Roman" w:eastAsia="Times New Roman" w:hAnsi="Times New Roman" w:cs="Times New Roman"/>
          <w:bCs/>
          <w:sz w:val="24"/>
          <w:szCs w:val="24"/>
          <w:lang w:val="en-IN"/>
        </w:rPr>
        <w:t>modeling</w:t>
      </w:r>
      <w:proofErr w:type="spellEnd"/>
      <w:r w:rsidRPr="00CC5FBA">
        <w:rPr>
          <w:rFonts w:ascii="Times New Roman" w:eastAsia="Times New Roman" w:hAnsi="Times New Roman" w:cs="Times New Roman"/>
          <w:bCs/>
          <w:sz w:val="24"/>
          <w:szCs w:val="24"/>
          <w:lang w:val="en-IN"/>
        </w:rPr>
        <w:t xml:space="preserve"> has emerged as a valuable tool for predicting flow patterns, mixing times, and oxygen transfer characteristics in production-scale bioreactors, enabling more rational scale-up strategies (</w:t>
      </w:r>
      <w:proofErr w:type="spellStart"/>
      <w:r w:rsidRPr="00CC5FBA">
        <w:rPr>
          <w:rFonts w:ascii="Times New Roman" w:eastAsia="Times New Roman" w:hAnsi="Times New Roman" w:cs="Times New Roman"/>
          <w:bCs/>
          <w:sz w:val="24"/>
          <w:szCs w:val="24"/>
          <w:lang w:val="en-IN"/>
        </w:rPr>
        <w:t>Zydney</w:t>
      </w:r>
      <w:proofErr w:type="spellEnd"/>
      <w:r w:rsidRPr="00CC5FBA">
        <w:rPr>
          <w:rFonts w:ascii="Times New Roman" w:eastAsia="Times New Roman" w:hAnsi="Times New Roman" w:cs="Times New Roman"/>
          <w:bCs/>
          <w:sz w:val="24"/>
          <w:szCs w:val="24"/>
          <w:lang w:val="en-IN"/>
        </w:rPr>
        <w:t>, 2016).</w:t>
      </w:r>
    </w:p>
    <w:p w14:paraId="4CB3E49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Process Validation</w:t>
      </w:r>
      <w:r w:rsidRPr="00CC5FBA">
        <w:rPr>
          <w:rFonts w:ascii="Times New Roman" w:eastAsia="Times New Roman" w:hAnsi="Times New Roman" w:cs="Times New Roman"/>
          <w:bCs/>
          <w:sz w:val="24"/>
          <w:szCs w:val="24"/>
          <w:lang w:val="en-IN"/>
        </w:rPr>
        <w:t xml:space="preserve"> activities coordinated by MSAT provide documented evidence that manufacturing processes consistently produce products meeting predetermined specifications and quality attributes, as required by regulatory agencies worldwide (Rathore et al., 2022). The FDA's guidance on process validation describes a lifecycle approach encompassing three stages: Process Design, Process Performance Qualification (PPQ), and Continued Process Verification (CPV) (Stanbury et al., 2017). MSAT typically leads execution of PPQ studies, which involve manufacturing multiple consecutive commercial-scale batches under fully implemented process controls and collecting extensive data to demonstrate process capability and reproducibility (Konstantinov &amp; Cooney, 2015). Statistical analysis of validation data, including calculation of process capability indices (Cp, </w:t>
      </w:r>
      <w:proofErr w:type="spellStart"/>
      <w:r w:rsidRPr="00CC5FBA">
        <w:rPr>
          <w:rFonts w:ascii="Times New Roman" w:eastAsia="Times New Roman" w:hAnsi="Times New Roman" w:cs="Times New Roman"/>
          <w:bCs/>
          <w:sz w:val="24"/>
          <w:szCs w:val="24"/>
          <w:lang w:val="en-IN"/>
        </w:rPr>
        <w:t>Cpk</w:t>
      </w:r>
      <w:proofErr w:type="spellEnd"/>
      <w:r w:rsidRPr="00CC5FBA">
        <w:rPr>
          <w:rFonts w:ascii="Times New Roman" w:eastAsia="Times New Roman" w:hAnsi="Times New Roman" w:cs="Times New Roman"/>
          <w:bCs/>
          <w:sz w:val="24"/>
          <w:szCs w:val="24"/>
          <w:lang w:val="en-IN"/>
        </w:rPr>
        <w:t>), trending of CPPs and CQAs, and demonstration that results consistently meet specifications, provides the evidence base supporting process validation claims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2C5616F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Deviation and Out-of-Specification Management</w:t>
      </w:r>
      <w:r w:rsidRPr="00CC5FBA">
        <w:rPr>
          <w:rFonts w:ascii="Times New Roman" w:eastAsia="Times New Roman" w:hAnsi="Times New Roman" w:cs="Times New Roman"/>
          <w:bCs/>
          <w:sz w:val="24"/>
          <w:szCs w:val="24"/>
          <w:lang w:val="en-IN"/>
        </w:rPr>
        <w:t xml:space="preserve"> represents another critical MSAT responsibility, as deviations from established procedures and OOS analytical results inevitably occur in complex biological manufacturing operations (Lara et al., 2019). MSAT scientists lead systematic investigations utilizing root cause analysis methodologies such as 5 Whys analysis, fishbone diagrams, or fault tree analysis to identify underlying causes of deviations (Schenk et al., 2015). Impact assessments evaluate potential effects on product quality, and when investigations reveal systemic issues or opportunities for process improvement, MSAT develops and implements Corrective and Preventive Actions (CAPA) to address root causes and prevent recurrence (Buchholz et al., 2021).</w:t>
      </w:r>
    </w:p>
    <w:p w14:paraId="7DBC5AA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Training and Technical Support</w:t>
      </w:r>
      <w:r w:rsidRPr="00CC5FBA">
        <w:rPr>
          <w:rFonts w:ascii="Times New Roman" w:eastAsia="Times New Roman" w:hAnsi="Times New Roman" w:cs="Times New Roman"/>
          <w:bCs/>
          <w:sz w:val="24"/>
          <w:szCs w:val="24"/>
          <w:lang w:val="en-IN"/>
        </w:rPr>
        <w:t xml:space="preserve"> provided by MSAT ensures that manufacturing personnel possess the knowledge and skills required to execute processes correctly and troubleshoot issues that arise during routine operations (Lopes et al., 2023). MSAT develops training materials, conducts classroom and hands-on training sessions, and maintains training records documenting personnel qualifications (Zhang et al., 2020). Beyond initial training, MSAT provides ongoing technical support to manufacturing operations, assisting with troubleshooting equipment malfunctions, investigating unexpected process </w:t>
      </w:r>
      <w:proofErr w:type="spellStart"/>
      <w:r w:rsidRPr="00CC5FBA">
        <w:rPr>
          <w:rFonts w:ascii="Times New Roman" w:eastAsia="Times New Roman" w:hAnsi="Times New Roman" w:cs="Times New Roman"/>
          <w:bCs/>
          <w:sz w:val="24"/>
          <w:szCs w:val="24"/>
          <w:lang w:val="en-IN"/>
        </w:rPr>
        <w:t>behavior</w:t>
      </w:r>
      <w:proofErr w:type="spellEnd"/>
      <w:r w:rsidRPr="00CC5FBA">
        <w:rPr>
          <w:rFonts w:ascii="Times New Roman" w:eastAsia="Times New Roman" w:hAnsi="Times New Roman" w:cs="Times New Roman"/>
          <w:bCs/>
          <w:sz w:val="24"/>
          <w:szCs w:val="24"/>
          <w:lang w:val="en-IN"/>
        </w:rPr>
        <w:t>, and optimizing operational parameters to improve productivity or product quality (Rathore, 2009).</w:t>
      </w:r>
    </w:p>
    <w:p w14:paraId="3DEE6660"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2.3 Upstream and Downstream Processing</w:t>
      </w:r>
    </w:p>
    <w:p w14:paraId="7DDA433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lastRenderedPageBreak/>
        <w:t>The dichotomy between upstream and downstream processing represents a fundamental organizational and operational division in biologics manufacturing, with each phase requiring distinct equipment, expertise, and control strategies (Doran, 2013).</w:t>
      </w:r>
    </w:p>
    <w:p w14:paraId="3951AD1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Upstream processing</w:t>
      </w:r>
      <w:r w:rsidRPr="00CC5FBA">
        <w:rPr>
          <w:rFonts w:ascii="Times New Roman" w:eastAsia="Times New Roman" w:hAnsi="Times New Roman" w:cs="Times New Roman"/>
          <w:bCs/>
          <w:sz w:val="24"/>
          <w:szCs w:val="24"/>
          <w:lang w:val="en-IN"/>
        </w:rPr>
        <w:t xml:space="preserve"> for mammalian cell culture systems, which dominate production of therapeutic monoclonal antibodies and recombinant proteins, typically utilizes Chinese Hamster Ovary (CHO) cells as the expression host due to their capability for human-like glycosylation, established regulatory track record, and amenability to process optimization (Wurm &amp; Hacker, 2011). CHO cell culture processes have evolved dramatically over the past two decades, with volumetric productivities increasing more than 100-fold through improvements in cell line engineering, media formulation, feeding strategies, and process control (Jayapal et al., 2007).</w:t>
      </w:r>
    </w:p>
    <w:p w14:paraId="0D69F4A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Modern fed-batch CHO processes routinely achieve viable cell densities exceeding 20 million cells per </w:t>
      </w:r>
      <w:proofErr w:type="spellStart"/>
      <w:r w:rsidRPr="00CC5FBA">
        <w:rPr>
          <w:rFonts w:ascii="Times New Roman" w:eastAsia="Times New Roman" w:hAnsi="Times New Roman" w:cs="Times New Roman"/>
          <w:bCs/>
          <w:sz w:val="24"/>
          <w:szCs w:val="24"/>
          <w:lang w:val="en-IN"/>
        </w:rPr>
        <w:t>milliliter</w:t>
      </w:r>
      <w:proofErr w:type="spellEnd"/>
      <w:r w:rsidRPr="00CC5FBA">
        <w:rPr>
          <w:rFonts w:ascii="Times New Roman" w:eastAsia="Times New Roman" w:hAnsi="Times New Roman" w:cs="Times New Roman"/>
          <w:bCs/>
          <w:sz w:val="24"/>
          <w:szCs w:val="24"/>
          <w:lang w:val="en-IN"/>
        </w:rPr>
        <w:t xml:space="preserve"> and culture durations extending 14 days or longer, with specific productivities of several tens of picograms per cell per day resulting in final product </w:t>
      </w:r>
      <w:proofErr w:type="spellStart"/>
      <w:r w:rsidRPr="00CC5FBA">
        <w:rPr>
          <w:rFonts w:ascii="Times New Roman" w:eastAsia="Times New Roman" w:hAnsi="Times New Roman" w:cs="Times New Roman"/>
          <w:bCs/>
          <w:sz w:val="24"/>
          <w:szCs w:val="24"/>
          <w:lang w:val="en-IN"/>
        </w:rPr>
        <w:t>titers</w:t>
      </w:r>
      <w:proofErr w:type="spellEnd"/>
      <w:r w:rsidRPr="00CC5FBA">
        <w:rPr>
          <w:rFonts w:ascii="Times New Roman" w:eastAsia="Times New Roman" w:hAnsi="Times New Roman" w:cs="Times New Roman"/>
          <w:bCs/>
          <w:sz w:val="24"/>
          <w:szCs w:val="24"/>
          <w:lang w:val="en-IN"/>
        </w:rPr>
        <w:t xml:space="preserve"> of 5-10 grams per </w:t>
      </w:r>
      <w:proofErr w:type="spellStart"/>
      <w:r w:rsidRPr="00CC5FBA">
        <w:rPr>
          <w:rFonts w:ascii="Times New Roman" w:eastAsia="Times New Roman" w:hAnsi="Times New Roman" w:cs="Times New Roman"/>
          <w:bCs/>
          <w:sz w:val="24"/>
          <w:szCs w:val="24"/>
          <w:lang w:val="en-IN"/>
        </w:rPr>
        <w:t>liter</w:t>
      </w:r>
      <w:proofErr w:type="spellEnd"/>
      <w:r w:rsidRPr="00CC5FBA">
        <w:rPr>
          <w:rFonts w:ascii="Times New Roman" w:eastAsia="Times New Roman" w:hAnsi="Times New Roman" w:cs="Times New Roman"/>
          <w:bCs/>
          <w:sz w:val="24"/>
          <w:szCs w:val="24"/>
          <w:lang w:val="en-IN"/>
        </w:rPr>
        <w:t xml:space="preserve"> or higher (Huang et al., 2012). These impressive productivity gains have been enabled by chemically defined media formulations that support high cell densities without animal-derived components, concentrated nutrient feeds that provide limiting nutrients while avoiding osmolality increases, and sophisticated feeding strategies that maintain cells in productive metabolic states throughout extended culture durations (Sarkar et al., 2016).</w:t>
      </w:r>
    </w:p>
    <w:p w14:paraId="34DB14A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Alternative expression systems including bacterial (E. coli), yeast (Pichia pastoris, Saccharomyces cerevisiae), and insect cell systems offer advantages for specific product types (Cereghino &amp; Cregg, 2000). E. coli provides extremely high volumetric productivities and simple, inexpensive media requirements, making it attractive for products not requiring complex post-translational modifications, though inclusion body formation often necessitates protein refolding steps that complicate downstream processing (Rosano &amp; Ceccarelli, 2014). Pichia pastoris combines high cell density capability with eukaryotic protein processing machinery and secretion capability, with methanol-inducible expression systems enabling temporal separation of growth and production phases (Valgepea et al., 2017).</w:t>
      </w:r>
    </w:p>
    <w:p w14:paraId="53B3A1F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Downstream processing</w:t>
      </w:r>
      <w:r w:rsidRPr="00CC5FBA">
        <w:rPr>
          <w:rFonts w:ascii="Times New Roman" w:eastAsia="Times New Roman" w:hAnsi="Times New Roman" w:cs="Times New Roman"/>
          <w:bCs/>
          <w:sz w:val="24"/>
          <w:szCs w:val="24"/>
          <w:lang w:val="en-IN"/>
        </w:rPr>
        <w:t xml:space="preserve"> has historically represented the primary bottleneck and cost driver in biologics manufacturing, with purification operations potentially accounting for 50-80% of total manufacturing costs (Doran, 2013). Chromatographic purification, while highly effective for achieving required purity levels, involves expensive resins, has limited loading capacities, and operates in batch mode with significant time requirements (Stanbury et al., 2017). Process intensification strategies seek to improve downstream processing efficiency through approaches including increased resin binding capacities, continuous chromatography systems, and integration of multiple unit operations (</w:t>
      </w:r>
      <w:proofErr w:type="spellStart"/>
      <w:r w:rsidRPr="00CC5FBA">
        <w:rPr>
          <w:rFonts w:ascii="Times New Roman" w:eastAsia="Times New Roman" w:hAnsi="Times New Roman" w:cs="Times New Roman"/>
          <w:bCs/>
          <w:sz w:val="24"/>
          <w:szCs w:val="24"/>
          <w:lang w:val="en-IN"/>
        </w:rPr>
        <w:t>Zydney</w:t>
      </w:r>
      <w:proofErr w:type="spellEnd"/>
      <w:r w:rsidRPr="00CC5FBA">
        <w:rPr>
          <w:rFonts w:ascii="Times New Roman" w:eastAsia="Times New Roman" w:hAnsi="Times New Roman" w:cs="Times New Roman"/>
          <w:bCs/>
          <w:sz w:val="24"/>
          <w:szCs w:val="24"/>
          <w:lang w:val="en-IN"/>
        </w:rPr>
        <w:t>, 2016).</w:t>
      </w:r>
    </w:p>
    <w:p w14:paraId="2D5A022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Protein </w:t>
      </w:r>
      <w:proofErr w:type="spellStart"/>
      <w:r w:rsidRPr="00CC5FBA">
        <w:rPr>
          <w:rFonts w:ascii="Times New Roman" w:eastAsia="Times New Roman" w:hAnsi="Times New Roman" w:cs="Times New Roman"/>
          <w:bCs/>
          <w:sz w:val="24"/>
          <w:szCs w:val="24"/>
          <w:lang w:val="en-IN"/>
        </w:rPr>
        <w:t>A</w:t>
      </w:r>
      <w:proofErr w:type="spellEnd"/>
      <w:r w:rsidRPr="00CC5FBA">
        <w:rPr>
          <w:rFonts w:ascii="Times New Roman" w:eastAsia="Times New Roman" w:hAnsi="Times New Roman" w:cs="Times New Roman"/>
          <w:bCs/>
          <w:sz w:val="24"/>
          <w:szCs w:val="24"/>
          <w:lang w:val="en-IN"/>
        </w:rPr>
        <w:t xml:space="preserve"> affinity chromatography, while providing excellent selectivity and enabling high yields in monoclonal antibody purification, presents </w:t>
      </w:r>
      <w:proofErr w:type="gramStart"/>
      <w:r w:rsidRPr="00CC5FBA">
        <w:rPr>
          <w:rFonts w:ascii="Times New Roman" w:eastAsia="Times New Roman" w:hAnsi="Times New Roman" w:cs="Times New Roman"/>
          <w:bCs/>
          <w:sz w:val="24"/>
          <w:szCs w:val="24"/>
          <w:lang w:val="en-IN"/>
        </w:rPr>
        <w:t>particular challenges</w:t>
      </w:r>
      <w:proofErr w:type="gramEnd"/>
      <w:r w:rsidRPr="00CC5FBA">
        <w:rPr>
          <w:rFonts w:ascii="Times New Roman" w:eastAsia="Times New Roman" w:hAnsi="Times New Roman" w:cs="Times New Roman"/>
          <w:bCs/>
          <w:sz w:val="24"/>
          <w:szCs w:val="24"/>
          <w:lang w:val="en-IN"/>
        </w:rPr>
        <w:t xml:space="preserve"> due to the high cost of Protein A resins and their limited lifetime (Huang et al., 2012). Development of alternative </w:t>
      </w:r>
      <w:r w:rsidRPr="00CC5FBA">
        <w:rPr>
          <w:rFonts w:ascii="Times New Roman" w:eastAsia="Times New Roman" w:hAnsi="Times New Roman" w:cs="Times New Roman"/>
          <w:bCs/>
          <w:sz w:val="24"/>
          <w:szCs w:val="24"/>
          <w:lang w:val="en-IN"/>
        </w:rPr>
        <w:lastRenderedPageBreak/>
        <w:t>capture strategies including non-affinity chromatography methods and precipitation-based approaches continues to receive attention, though Protein A chromatography remains the dominant capture method for most therapeutic antibodies (Walsh, 2018).</w:t>
      </w:r>
    </w:p>
    <w:p w14:paraId="7112A36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Viral clearance validation represents a critical regulatory requirement for biologics manufactured in mammalian cell systems, requiring demonstration that the purification process achieves sufficient viral reduction to ensure product safety even if production cells were contaminated with adventitious viruses (Wurm &amp; Hacker, 2011). Orthogonal viral clearance mechanisms including low pH viral inactivation, virus filtration using nanoporous membranes, and chromatographic separation must collectively demonstrate viral clearance factors exceeding regulatory expectations, typically 12 logs or greater (Rathore et al., 2022).</w:t>
      </w:r>
    </w:p>
    <w:p w14:paraId="7313C0EB"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2.4 Process Validation Principles</w:t>
      </w:r>
    </w:p>
    <w:p w14:paraId="57DCE63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Process validation represents a fundamental quality assurance principle in pharmaceutical manufacturing, providing documented evidence that processes consistently produce products meeting predetermined specifications (Stanbury et al., 2017). The FDA's 2011 Guidance for Industry on Process Validation established the current lifecycle approach to validation, replacing earlier paradigms that viewed validation as a discrete event occurring once at process initiation (Rathore, 2009).</w:t>
      </w:r>
    </w:p>
    <w:p w14:paraId="5077B22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Stage 1: Process Design</w:t>
      </w:r>
      <w:r w:rsidRPr="00CC5FBA">
        <w:rPr>
          <w:rFonts w:ascii="Times New Roman" w:eastAsia="Times New Roman" w:hAnsi="Times New Roman" w:cs="Times New Roman"/>
          <w:bCs/>
          <w:sz w:val="24"/>
          <w:szCs w:val="24"/>
          <w:lang w:val="en-IN"/>
        </w:rPr>
        <w:t xml:space="preserve"> encompasses all process development activities conducted prior to commercial manufacturing, during which the process is designed based on scientific knowledge and understanding of product characteristics, manufacturing operations, and product performance requirements (Konstantinov &amp; Cooney, 2015). Quality by Design (</w:t>
      </w:r>
      <w:proofErr w:type="spellStart"/>
      <w:r w:rsidRPr="00CC5FBA">
        <w:rPr>
          <w:rFonts w:ascii="Times New Roman" w:eastAsia="Times New Roman" w:hAnsi="Times New Roman" w:cs="Times New Roman"/>
          <w:bCs/>
          <w:sz w:val="24"/>
          <w:szCs w:val="24"/>
          <w:lang w:val="en-IN"/>
        </w:rPr>
        <w:t>QbD</w:t>
      </w:r>
      <w:proofErr w:type="spellEnd"/>
      <w:r w:rsidRPr="00CC5FBA">
        <w:rPr>
          <w:rFonts w:ascii="Times New Roman" w:eastAsia="Times New Roman" w:hAnsi="Times New Roman" w:cs="Times New Roman"/>
          <w:bCs/>
          <w:sz w:val="24"/>
          <w:szCs w:val="24"/>
          <w:lang w:val="en-IN"/>
        </w:rPr>
        <w:t>) principles emphasize systematic process characterization studies to identify CPPs and CQAs, understand relationships between process variables and product attributes, and establish appropriate control strategies (Rathore et al., 2022). Design of Experiments (DoE) methodologies enable efficient exploration of multidimensional parameter spaces, identifying optimal operating conditions and demonstrating process robustness across expected ranges of variability (Valgepea et al., 2017).</w:t>
      </w:r>
    </w:p>
    <w:p w14:paraId="1AFA5F8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Risk assessment activities including Failure Mode and Effects Analysis (FMEA) or other structured risk evaluation methodologies identify potential failure modes, assess their severity and likelihood, and establish appropriate control measures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The combination of process characterization data, risk assessments, and scientific understanding culminates in a control strategy defining how critical process parameters will be monitored and controlled to ensure consistent production of product with desired quality attributes (Lopes et al., 2023).</w:t>
      </w:r>
    </w:p>
    <w:p w14:paraId="122FA45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Stage 2: Process Performance Qualification</w:t>
      </w:r>
      <w:r w:rsidRPr="00CC5FBA">
        <w:rPr>
          <w:rFonts w:ascii="Times New Roman" w:eastAsia="Times New Roman" w:hAnsi="Times New Roman" w:cs="Times New Roman"/>
          <w:bCs/>
          <w:sz w:val="24"/>
          <w:szCs w:val="24"/>
          <w:lang w:val="en-IN"/>
        </w:rPr>
        <w:t xml:space="preserve"> involves demonstrating through actual commercial-scale manufacturing that the process design developed in Stage 1 is capable of reproducible commercial manufacturing (Buchholz et al., 2021). PPQ execution typically requires multiple consecutive conformance batches, with regulatory guidance historically suggesting three consecutive successful batches as sufficient though some companies elect to perform larger PPQ campaigns to demonstrate robustness (Schenk et al., 2015). Enhanced </w:t>
      </w:r>
      <w:r w:rsidRPr="00CC5FBA">
        <w:rPr>
          <w:rFonts w:ascii="Times New Roman" w:eastAsia="Times New Roman" w:hAnsi="Times New Roman" w:cs="Times New Roman"/>
          <w:bCs/>
          <w:sz w:val="24"/>
          <w:szCs w:val="24"/>
          <w:lang w:val="en-IN"/>
        </w:rPr>
        <w:lastRenderedPageBreak/>
        <w:t>data collection during PPQ, including increased sampling frequency, testing of additional quality attributes, and monitoring of process parameters that may not require routine measurement during commercial manufacturing, provides comprehensive characterization of process performance (Zhang et al., 2020).</w:t>
      </w:r>
    </w:p>
    <w:p w14:paraId="48BFB54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Statistical evaluation of PPQ data demonstrates process capability and consistency, with process capability indices quantifying the relationship between specification limits and observed process variability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Successfully completed PPQ provides the validated state required for commercial distribution, though validation is increasingly understood as an ongoing activity rather than a one-time event (Rathore, 2009).</w:t>
      </w:r>
    </w:p>
    <w:p w14:paraId="7D9B512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Stage 3: Continued Process Verification</w:t>
      </w:r>
      <w:r w:rsidRPr="00CC5FBA">
        <w:rPr>
          <w:rFonts w:ascii="Times New Roman" w:eastAsia="Times New Roman" w:hAnsi="Times New Roman" w:cs="Times New Roman"/>
          <w:bCs/>
          <w:sz w:val="24"/>
          <w:szCs w:val="24"/>
          <w:lang w:val="en-IN"/>
        </w:rPr>
        <w:t xml:space="preserve"> recognizes that validation continues throughout commercial manufacturing, requiring ongoing monitoring and periodic review of process performance data to ensure the process remains in a state of control (Konstantinov &amp; Cooney, 2015). Statistical process control methods including control charts, trending analyses, and process capability calculations enable detection of shifts or drifts in process performance before they result in out-of-specification results (Li et al., 2019). Annual Product Reviews or periodic process performance reviews aggregate and </w:t>
      </w:r>
      <w:proofErr w:type="spellStart"/>
      <w:r w:rsidRPr="00CC5FBA">
        <w:rPr>
          <w:rFonts w:ascii="Times New Roman" w:eastAsia="Times New Roman" w:hAnsi="Times New Roman" w:cs="Times New Roman"/>
          <w:bCs/>
          <w:sz w:val="24"/>
          <w:szCs w:val="24"/>
          <w:lang w:val="en-IN"/>
        </w:rPr>
        <w:t>analyze</w:t>
      </w:r>
      <w:proofErr w:type="spellEnd"/>
      <w:r w:rsidRPr="00CC5FBA">
        <w:rPr>
          <w:rFonts w:ascii="Times New Roman" w:eastAsia="Times New Roman" w:hAnsi="Times New Roman" w:cs="Times New Roman"/>
          <w:bCs/>
          <w:sz w:val="24"/>
          <w:szCs w:val="24"/>
          <w:lang w:val="en-IN"/>
        </w:rPr>
        <w:t xml:space="preserve"> data from multiple batches to identify trends, assess continued process capability, and identify opportunities for process improvements (Lara et al., 2019).</w:t>
      </w:r>
    </w:p>
    <w:p w14:paraId="4A85C4AC"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2.5 Regulatory Compliance in Biologics Manufacturing</w:t>
      </w:r>
    </w:p>
    <w:p w14:paraId="08D6E39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Biopharmaceutical manufacturing operates under stringent regulatory oversight worldwide, with agencies including the FDA (United States), EMA (European Union), and other national regulatory authorities establishing requirements for manufacturing practices, product quality, and regulatory submissions (Walsh, 2018). Current Good Manufacturing Practice (cGMP) regulations establish comprehensive requirements for all aspects of pharmaceutical manufacturing including facilities, equipment, materials, production operations, quality control systems, and documentation (Stanbury et al., 2017).</w:t>
      </w:r>
    </w:p>
    <w:p w14:paraId="36E6AB7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For biologics specifically, regulatory agencies recognize the complexity of biological manufacturing and the intimate relationship between manufacturing process and product quality through the principle that "the process defines the product" (Rathore et al., 2022). This recognition underlies regulatory expectations for comprehensive process characterization, validation, and control, with changes to manufacturing processes potentially requiring regulatory approval even when analytical testing demonstrates product quality is unchanged (Wurm &amp; Hacker, 2011).</w:t>
      </w:r>
    </w:p>
    <w:p w14:paraId="4A4BEAB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Documentation represents a cornerstone of cGMP compliance, with the principle "if it's not documented, it didn't happen" emphasizing the critical importance of contemporaneous, complete, and accurate records (Doran, 2013). Master Production Records define all aspects of the manufacturing process, while Batch Manufacturing Records document actual activities and results for each specific batch (Shuler &amp; Kargi, 2017). Standard Operating Procedures provide detailed instructions for all operational and testing activities, ensuring </w:t>
      </w:r>
      <w:r w:rsidRPr="00CC5FBA">
        <w:rPr>
          <w:rFonts w:ascii="Times New Roman" w:eastAsia="Times New Roman" w:hAnsi="Times New Roman" w:cs="Times New Roman"/>
          <w:bCs/>
          <w:sz w:val="24"/>
          <w:szCs w:val="24"/>
          <w:lang w:val="en-IN"/>
        </w:rPr>
        <w:lastRenderedPageBreak/>
        <w:t>standardization and reproducibility across batches and over time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5D79229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advent of Process Analytical Technology (PAT) and Quality by Design approaches has influenced regulatory thinking about process control and validation, with regulators increasingly receptive to real-time release testing, parametric release, and continuous processing approaches when supported by thorough process understanding and appropriate control strategies (Rathore, 2009). These evolving paradigms offer opportunities for more flexible, efficient manufacturing while maintaining or enhancing product quality assurance (Buchholz et al., 2021).</w:t>
      </w:r>
    </w:p>
    <w:p w14:paraId="0B30AAB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7281AE67">
          <v:rect id="_x0000_i1117" style="width:0;height:1.5pt" o:hralign="center" o:hrstd="t" o:hr="t" fillcolor="#a0a0a0" stroked="f"/>
        </w:pict>
      </w:r>
    </w:p>
    <w:p w14:paraId="6512CAC2"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3: MSAT DEPARTMENTAL FUNCTIONS</w:t>
      </w:r>
    </w:p>
    <w:p w14:paraId="1CF953DD"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3.1 Technology Transfer and Technical Oversight</w:t>
      </w:r>
    </w:p>
    <w:p w14:paraId="2413018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Technology transfer represents the systematic process of transferring manufacturing knowledge, procedures, and capabilities from development laboratories or pilot facilities to commercial manufacturing sites. During my internship at Biocon Biologics, I gained extensive exposure to technology transfer activities supporting the introduction of new products and process improvements to commercial manufacturing suites.</w:t>
      </w:r>
    </w:p>
    <w:p w14:paraId="082E736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technology transfer process begins with compilation of comprehensive Tech Transfer Documents (TTD) that capture all technical information required for manufacturing site personnel to understand and execute the process. During my internship, I actively participated in the preparation and review of multiple TTDs for products being transferred to Contract Manufacturing Organizations (CMOs) and other manufacturing sites. The TTD compilation process requires gathering information from diverse sources including Process Development reports, analytical method validation documents, raw material specifications, equipment requirements, and process characterization studies (Konstantinov &amp; Cooney, 2015).</w:t>
      </w:r>
    </w:p>
    <w:p w14:paraId="790D3A2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A complete TTD typically includes detailed product descriptions encompassing molecular structure, mechanism of action, and therapeutic indication; comprehensive manufacturing process descriptions for all unit operations from cell culture through filling; specifications for all raw materials, intermediates, and finished product; validated analytical methods with acceptance criteria; Critical Process Parameters and their control ranges; Critical Quality Attributes and their specifications; process flow diagrams and material balance calculations; equipment specifications and operational parameters; risk assessments identifying potential failure modes; and scale-up strategies addressing differences between development and commercial scales (Zhang et al., 2020).</w:t>
      </w:r>
    </w:p>
    <w:p w14:paraId="0B7E172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My responsibilities in TTD preparation included collecting process parameters from batch records, verifying material specifications against approved documents, cross-checking analytical methods and acceptance criteria, preparing process flow diagrams, and coordinating with subject matter experts across departments to ensure accuracy and </w:t>
      </w:r>
      <w:r w:rsidRPr="00CC5FBA">
        <w:rPr>
          <w:rFonts w:ascii="Times New Roman" w:eastAsia="Times New Roman" w:hAnsi="Times New Roman" w:cs="Times New Roman"/>
          <w:bCs/>
          <w:sz w:val="24"/>
          <w:szCs w:val="24"/>
          <w:lang w:val="en-IN"/>
        </w:rPr>
        <w:lastRenderedPageBreak/>
        <w:t>completeness. This experience provided deep appreciation for the comprehensive nature of information required to successfully transfer complex biological processes between facilities.</w:t>
      </w:r>
    </w:p>
    <w:p w14:paraId="7F4A492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Technology evaluation activities assess the feasibility of implementing proposed processes in commercial manufacturing environments, identifying potential gaps in equipment capabilities, analytical methods, materials availability, or personnel training that might impact successful implementation (Schenk et al., 2015). During feasibility assessments, I participated in gap analyses comparing process requirements against existing manufacturing capabilities, equipment capacity calculations to verify that production schedules could accommodate new products, and risk assessments evaluating potential technical challenges in scale-up or technology transfer.</w:t>
      </w:r>
    </w:p>
    <w:p w14:paraId="5FE4E97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Technical oversight activities involve ongoing monitoring of commercial manufacturing performance, troubleshooting investigations when processes deviate from expected </w:t>
      </w:r>
      <w:proofErr w:type="spellStart"/>
      <w:r w:rsidRPr="00CC5FBA">
        <w:rPr>
          <w:rFonts w:ascii="Times New Roman" w:eastAsia="Times New Roman" w:hAnsi="Times New Roman" w:cs="Times New Roman"/>
          <w:bCs/>
          <w:sz w:val="24"/>
          <w:szCs w:val="24"/>
          <w:lang w:val="en-IN"/>
        </w:rPr>
        <w:t>behavior</w:t>
      </w:r>
      <w:proofErr w:type="spellEnd"/>
      <w:r w:rsidRPr="00CC5FBA">
        <w:rPr>
          <w:rFonts w:ascii="Times New Roman" w:eastAsia="Times New Roman" w:hAnsi="Times New Roman" w:cs="Times New Roman"/>
          <w:bCs/>
          <w:sz w:val="24"/>
          <w:szCs w:val="24"/>
          <w:lang w:val="en-IN"/>
        </w:rPr>
        <w:t xml:space="preserve">, and recommendations for process adjustments or improvements (Lara et al., 2019). MSAT scientists review batch records, process trend data, and quality control results to identify potential issues before they result in batch failures or product quality impacts. I assisted in batch record reviews, checking for completeness and identifying anomalies that might require investigation, and participated in troubleshooting discussions when manufacturing encountered unexpected issues such as low cell viability, reduced product </w:t>
      </w:r>
      <w:proofErr w:type="spellStart"/>
      <w:r w:rsidRPr="00CC5FBA">
        <w:rPr>
          <w:rFonts w:ascii="Times New Roman" w:eastAsia="Times New Roman" w:hAnsi="Times New Roman" w:cs="Times New Roman"/>
          <w:bCs/>
          <w:sz w:val="24"/>
          <w:szCs w:val="24"/>
          <w:lang w:val="en-IN"/>
        </w:rPr>
        <w:t>titers</w:t>
      </w:r>
      <w:proofErr w:type="spellEnd"/>
      <w:r w:rsidRPr="00CC5FBA">
        <w:rPr>
          <w:rFonts w:ascii="Times New Roman" w:eastAsia="Times New Roman" w:hAnsi="Times New Roman" w:cs="Times New Roman"/>
          <w:bCs/>
          <w:sz w:val="24"/>
          <w:szCs w:val="24"/>
          <w:lang w:val="en-IN"/>
        </w:rPr>
        <w:t>, or off-specification analytical results.</w:t>
      </w:r>
    </w:p>
    <w:p w14:paraId="6BDCFF40"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3.2 Process Validation Activities</w:t>
      </w:r>
    </w:p>
    <w:p w14:paraId="18391A9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Process validation represents one of MSAT's most critical regulatory responsibilities, providing documented evidence that manufacturing processes consistently produce products meeting predetermined quality specifications. My internship provided extensive exposure to all three stages of the process validation lifecycle as defined by FDA guidance.</w:t>
      </w:r>
    </w:p>
    <w:p w14:paraId="61BE9CE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Process Design activities</w:t>
      </w:r>
      <w:r w:rsidRPr="00CC5FBA">
        <w:rPr>
          <w:rFonts w:ascii="Times New Roman" w:eastAsia="Times New Roman" w:hAnsi="Times New Roman" w:cs="Times New Roman"/>
          <w:bCs/>
          <w:sz w:val="24"/>
          <w:szCs w:val="24"/>
          <w:lang w:val="en-IN"/>
        </w:rPr>
        <w:t xml:space="preserve"> conducted during product development establish the scientific foundation for manufacturing processes. While process design occurs primarily in R&amp;D laboratories, MSAT plays important roles in reviewing process development data, participating in Critical Process Parameter (CPP) and Critical Quality Attribute (CQA) identification exercises, and ensuring that control strategies developed during process characterization are implementable at commercial scale (Rathore et al., 2022). During my internship, I reviewed process characterization reports from development studies, examining data from Design of Experiments studies that explored effects of process variables on product quality attributes. This experience helped me understand how systematic process characterization generates knowledge about process </w:t>
      </w:r>
      <w:proofErr w:type="spellStart"/>
      <w:r w:rsidRPr="00CC5FBA">
        <w:rPr>
          <w:rFonts w:ascii="Times New Roman" w:eastAsia="Times New Roman" w:hAnsi="Times New Roman" w:cs="Times New Roman"/>
          <w:bCs/>
          <w:sz w:val="24"/>
          <w:szCs w:val="24"/>
          <w:lang w:val="en-IN"/>
        </w:rPr>
        <w:t>behavior</w:t>
      </w:r>
      <w:proofErr w:type="spellEnd"/>
      <w:r w:rsidRPr="00CC5FBA">
        <w:rPr>
          <w:rFonts w:ascii="Times New Roman" w:eastAsia="Times New Roman" w:hAnsi="Times New Roman" w:cs="Times New Roman"/>
          <w:bCs/>
          <w:sz w:val="24"/>
          <w:szCs w:val="24"/>
          <w:lang w:val="en-IN"/>
        </w:rPr>
        <w:t xml:space="preserve"> and establishes appropriate operating ranges for critical parameters.</w:t>
      </w:r>
    </w:p>
    <w:p w14:paraId="68970A2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Process Performance Qualification (PPQ)</w:t>
      </w:r>
      <w:r w:rsidRPr="00CC5FBA">
        <w:rPr>
          <w:rFonts w:ascii="Times New Roman" w:eastAsia="Times New Roman" w:hAnsi="Times New Roman" w:cs="Times New Roman"/>
          <w:bCs/>
          <w:sz w:val="24"/>
          <w:szCs w:val="24"/>
          <w:lang w:val="en-IN"/>
        </w:rPr>
        <w:t xml:space="preserve"> represents the heart of traditional validation activities, involving execution of multiple commercial-scale manufacturing campaigns with enhanced monitoring and data collection to demonstrate process capability and reproducibility. I contributed significantly to PPQ activities during my internship, including:</w:t>
      </w:r>
    </w:p>
    <w:p w14:paraId="056DAD7A" w14:textId="77777777" w:rsidR="00CC5FBA" w:rsidRPr="00CC5FBA" w:rsidRDefault="00CC5FBA" w:rsidP="00CC5FBA">
      <w:pPr>
        <w:numPr>
          <w:ilvl w:val="0"/>
          <w:numId w:val="13"/>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Protocol Development</w:t>
      </w:r>
      <w:r w:rsidRPr="00CC5FBA">
        <w:rPr>
          <w:rFonts w:ascii="Times New Roman" w:eastAsia="Times New Roman" w:hAnsi="Times New Roman" w:cs="Times New Roman"/>
          <w:bCs/>
          <w:sz w:val="24"/>
          <w:szCs w:val="24"/>
          <w:lang w:val="en-IN"/>
        </w:rPr>
        <w:t>: Assisting in preparation of PPQ protocols that defined objectives, acceptance criteria, sampling plans, testing schedules, and data analysis approaches. Protocol writing requires careful consideration of which parameters to monitor, sampling frequency, additional testing beyond routine quality control, and statistical methods for evaluating results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5BA4C7FB" w14:textId="77777777" w:rsidR="00CC5FBA" w:rsidRPr="00CC5FBA" w:rsidRDefault="00CC5FBA" w:rsidP="00CC5FBA">
      <w:pPr>
        <w:numPr>
          <w:ilvl w:val="0"/>
          <w:numId w:val="13"/>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Data Collection</w:t>
      </w:r>
      <w:r w:rsidRPr="00CC5FBA">
        <w:rPr>
          <w:rFonts w:ascii="Times New Roman" w:eastAsia="Times New Roman" w:hAnsi="Times New Roman" w:cs="Times New Roman"/>
          <w:bCs/>
          <w:sz w:val="24"/>
          <w:szCs w:val="24"/>
          <w:lang w:val="en-IN"/>
        </w:rPr>
        <w:t>: Participating in enhanced sampling during PPQ batches, including collection of samples at timepoints not routinely sampled during normal manufacturing. This provided insight into process dynamics and generation of comprehensive datasets characterizing process performance throughout the manufacturing campaign.</w:t>
      </w:r>
    </w:p>
    <w:p w14:paraId="5B98DDE5" w14:textId="77777777" w:rsidR="00CC5FBA" w:rsidRPr="00CC5FBA" w:rsidRDefault="00CC5FBA" w:rsidP="00CC5FBA">
      <w:pPr>
        <w:numPr>
          <w:ilvl w:val="0"/>
          <w:numId w:val="13"/>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Trend Analysis</w:t>
      </w:r>
      <w:r w:rsidRPr="00CC5FBA">
        <w:rPr>
          <w:rFonts w:ascii="Times New Roman" w:eastAsia="Times New Roman" w:hAnsi="Times New Roman" w:cs="Times New Roman"/>
          <w:bCs/>
          <w:sz w:val="24"/>
          <w:szCs w:val="24"/>
          <w:lang w:val="en-IN"/>
        </w:rPr>
        <w:t xml:space="preserve">: </w:t>
      </w:r>
      <w:proofErr w:type="spellStart"/>
      <w:r w:rsidRPr="00CC5FBA">
        <w:rPr>
          <w:rFonts w:ascii="Times New Roman" w:eastAsia="Times New Roman" w:hAnsi="Times New Roman" w:cs="Times New Roman"/>
          <w:bCs/>
          <w:sz w:val="24"/>
          <w:szCs w:val="24"/>
          <w:lang w:val="en-IN"/>
        </w:rPr>
        <w:t>Analyzing</w:t>
      </w:r>
      <w:proofErr w:type="spellEnd"/>
      <w:r w:rsidRPr="00CC5FBA">
        <w:rPr>
          <w:rFonts w:ascii="Times New Roman" w:eastAsia="Times New Roman" w:hAnsi="Times New Roman" w:cs="Times New Roman"/>
          <w:bCs/>
          <w:sz w:val="24"/>
          <w:szCs w:val="24"/>
          <w:lang w:val="en-IN"/>
        </w:rPr>
        <w:t xml:space="preserve"> PPQ data to identify trends, calculate process capability indices, and demonstrate that critical process parameters and quality attributes remained within validated ranges. I utilized statistical software to generate control charts, calculate mean values and standard deviations, and assess process capability metrics such as Cp and </w:t>
      </w:r>
      <w:proofErr w:type="spellStart"/>
      <w:r w:rsidRPr="00CC5FBA">
        <w:rPr>
          <w:rFonts w:ascii="Times New Roman" w:eastAsia="Times New Roman" w:hAnsi="Times New Roman" w:cs="Times New Roman"/>
          <w:bCs/>
          <w:sz w:val="24"/>
          <w:szCs w:val="24"/>
          <w:lang w:val="en-IN"/>
        </w:rPr>
        <w:t>Cpk</w:t>
      </w:r>
      <w:proofErr w:type="spellEnd"/>
      <w:r w:rsidRPr="00CC5FBA">
        <w:rPr>
          <w:rFonts w:ascii="Times New Roman" w:eastAsia="Times New Roman" w:hAnsi="Times New Roman" w:cs="Times New Roman"/>
          <w:bCs/>
          <w:sz w:val="24"/>
          <w:szCs w:val="24"/>
          <w:lang w:val="en-IN"/>
        </w:rPr>
        <w:t xml:space="preserve"> values (Li et al., 2019).</w:t>
      </w:r>
    </w:p>
    <w:p w14:paraId="128581BF" w14:textId="77777777" w:rsidR="00CC5FBA" w:rsidRPr="00CC5FBA" w:rsidRDefault="00CC5FBA" w:rsidP="00CC5FBA">
      <w:pPr>
        <w:numPr>
          <w:ilvl w:val="0"/>
          <w:numId w:val="13"/>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Report Preparation</w:t>
      </w:r>
      <w:r w:rsidRPr="00CC5FBA">
        <w:rPr>
          <w:rFonts w:ascii="Times New Roman" w:eastAsia="Times New Roman" w:hAnsi="Times New Roman" w:cs="Times New Roman"/>
          <w:bCs/>
          <w:sz w:val="24"/>
          <w:szCs w:val="24"/>
          <w:lang w:val="en-IN"/>
        </w:rPr>
        <w:t>: Contributing to PPQ report writing by compiling data tables, generating graphs and charts presenting results, and documenting compliance with acceptance criteria. PPQ reports represent critical regulatory documents that must comprehensively present validation evidence and conclusions.</w:t>
      </w:r>
    </w:p>
    <w:p w14:paraId="26CF30E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Continued Process Verification (CPV)</w:t>
      </w:r>
      <w:r w:rsidRPr="00CC5FBA">
        <w:rPr>
          <w:rFonts w:ascii="Times New Roman" w:eastAsia="Times New Roman" w:hAnsi="Times New Roman" w:cs="Times New Roman"/>
          <w:bCs/>
          <w:sz w:val="24"/>
          <w:szCs w:val="24"/>
          <w:lang w:val="en-IN"/>
        </w:rPr>
        <w:t xml:space="preserve"> activities maintain validated status throughout commercial manufacturing lifecycle through ongoing monitoring and periodic evaluation of process performance (Konstantinov &amp; Cooney, 2015). My CPV-related activities included:</w:t>
      </w:r>
    </w:p>
    <w:p w14:paraId="75944125" w14:textId="77777777" w:rsidR="00CC5FBA" w:rsidRPr="00CC5FBA" w:rsidRDefault="00CC5FBA" w:rsidP="00CC5FBA">
      <w:pPr>
        <w:numPr>
          <w:ilvl w:val="0"/>
          <w:numId w:val="14"/>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Compiling monthly and quarterly process performance data from commercial batches</w:t>
      </w:r>
    </w:p>
    <w:p w14:paraId="539414DD" w14:textId="77777777" w:rsidR="00CC5FBA" w:rsidRPr="00CC5FBA" w:rsidRDefault="00CC5FBA" w:rsidP="00CC5FBA">
      <w:pPr>
        <w:numPr>
          <w:ilvl w:val="0"/>
          <w:numId w:val="14"/>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Generating trend charts for critical process parameters showing performance over time</w:t>
      </w:r>
    </w:p>
    <w:p w14:paraId="72F135D4" w14:textId="77777777" w:rsidR="00CC5FBA" w:rsidRPr="00CC5FBA" w:rsidRDefault="00CC5FBA" w:rsidP="00CC5FBA">
      <w:pPr>
        <w:numPr>
          <w:ilvl w:val="0"/>
          <w:numId w:val="14"/>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Calculating rolling process capability statistics to detect shifts in process variability</w:t>
      </w:r>
    </w:p>
    <w:p w14:paraId="2AAAF429" w14:textId="77777777" w:rsidR="00CC5FBA" w:rsidRPr="00CC5FBA" w:rsidRDefault="00CC5FBA" w:rsidP="00CC5FBA">
      <w:pPr>
        <w:numPr>
          <w:ilvl w:val="0"/>
          <w:numId w:val="14"/>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Participating in Annual Product Reviews that comprehensively evaluate process performance across all batches manufactured during the year</w:t>
      </w:r>
    </w:p>
    <w:p w14:paraId="7B65A354" w14:textId="77777777" w:rsidR="00CC5FBA" w:rsidRPr="00CC5FBA" w:rsidRDefault="00CC5FBA" w:rsidP="00CC5FBA">
      <w:pPr>
        <w:numPr>
          <w:ilvl w:val="0"/>
          <w:numId w:val="14"/>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Investigating trends that suggested potential process drift or emerging issues requiring corrective action</w:t>
      </w:r>
    </w:p>
    <w:p w14:paraId="0537D6F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These validation activities provided practical understanding of how validation principles translate into actual industrial practice and the critical importance of maintaining comprehensive, well-organized validation documentation to support regulatory inspections and product approvals.</w:t>
      </w:r>
    </w:p>
    <w:p w14:paraId="4A3D6DC2"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3.3 Deviation and OOS Management</w:t>
      </w:r>
    </w:p>
    <w:p w14:paraId="31A88AA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Manufacturing deviations and Out-of-Specification (OOS) results represent inevitable occurrences in complex biological manufacturing, requiring systematic investigation, impact </w:t>
      </w:r>
      <w:r w:rsidRPr="00CC5FBA">
        <w:rPr>
          <w:rFonts w:ascii="Times New Roman" w:eastAsia="Times New Roman" w:hAnsi="Times New Roman" w:cs="Times New Roman"/>
          <w:bCs/>
          <w:sz w:val="24"/>
          <w:szCs w:val="24"/>
          <w:lang w:val="en-IN"/>
        </w:rPr>
        <w:lastRenderedPageBreak/>
        <w:t>assessment, and corrective action implementation. My internship provided extensive exposure to deviation management processes, developing competencies in investigation methodologies and root cause analysis techniques.</w:t>
      </w:r>
    </w:p>
    <w:p w14:paraId="29DB5CE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Deviation Investigation</w:t>
      </w:r>
      <w:r w:rsidRPr="00CC5FBA">
        <w:rPr>
          <w:rFonts w:ascii="Times New Roman" w:eastAsia="Times New Roman" w:hAnsi="Times New Roman" w:cs="Times New Roman"/>
          <w:bCs/>
          <w:sz w:val="24"/>
          <w:szCs w:val="24"/>
          <w:lang w:val="en-IN"/>
        </w:rPr>
        <w:t xml:space="preserve"> follows structured processes ensuring thorough evaluation of events and appropriate corrective actions. When deviations occur, immediate actions include containment measures to prevent potential product quality impact, preservation of evidence for investigation, and preliminary assessment of severity (Schenk et al., 2015). I participated in numerous deviation investigations involving various types of events including:</w:t>
      </w:r>
    </w:p>
    <w:p w14:paraId="5F8864B5" w14:textId="77777777" w:rsidR="00CC5FBA" w:rsidRPr="00CC5FBA" w:rsidRDefault="00CC5FBA" w:rsidP="00CC5FBA">
      <w:pPr>
        <w:numPr>
          <w:ilvl w:val="0"/>
          <w:numId w:val="15"/>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Equipment malfunctions such as bioreactor controller failures, pump stoppages, or sensor drift</w:t>
      </w:r>
    </w:p>
    <w:p w14:paraId="0E8C5C95" w14:textId="77777777" w:rsidR="00CC5FBA" w:rsidRPr="00CC5FBA" w:rsidRDefault="00CC5FBA" w:rsidP="00CC5FBA">
      <w:pPr>
        <w:numPr>
          <w:ilvl w:val="0"/>
          <w:numId w:val="15"/>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Environmental excursions including temperature deviations in storage areas or cleanroom classification failures</w:t>
      </w:r>
    </w:p>
    <w:p w14:paraId="39C87807" w14:textId="77777777" w:rsidR="00CC5FBA" w:rsidRPr="00CC5FBA" w:rsidRDefault="00CC5FBA" w:rsidP="00CC5FBA">
      <w:pPr>
        <w:numPr>
          <w:ilvl w:val="0"/>
          <w:numId w:val="15"/>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Procedural deviations where personnel actions differed from established procedures</w:t>
      </w:r>
    </w:p>
    <w:p w14:paraId="5AB16B59" w14:textId="77777777" w:rsidR="00CC5FBA" w:rsidRPr="00CC5FBA" w:rsidRDefault="00CC5FBA" w:rsidP="00CC5FBA">
      <w:pPr>
        <w:numPr>
          <w:ilvl w:val="0"/>
          <w:numId w:val="15"/>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Raw material quality issues or discrepancies in material documentation</w:t>
      </w:r>
    </w:p>
    <w:p w14:paraId="6370281F" w14:textId="77777777" w:rsidR="00CC5FBA" w:rsidRPr="00CC5FBA" w:rsidRDefault="00CC5FBA" w:rsidP="00CC5FBA">
      <w:pPr>
        <w:numPr>
          <w:ilvl w:val="0"/>
          <w:numId w:val="15"/>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Analytical method failures or instrument malfunctions affecting test results</w:t>
      </w:r>
    </w:p>
    <w:p w14:paraId="60C0119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My role in investigations included gathering relevant data from batch records, equipment logs, and environmental monitoring systems; interviewing personnel involved in the event to understand circumstances; reviewing procedures to identify potential ambiguities or inadequate instructions; documenting investigation findings and conclusions; and assisting in development of corrective and preventive actions (Lara et al., 2019).</w:t>
      </w:r>
    </w:p>
    <w:p w14:paraId="436FB00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Root Cause Analysis</w:t>
      </w:r>
      <w:r w:rsidRPr="00CC5FBA">
        <w:rPr>
          <w:rFonts w:ascii="Times New Roman" w:eastAsia="Times New Roman" w:hAnsi="Times New Roman" w:cs="Times New Roman"/>
          <w:bCs/>
          <w:sz w:val="24"/>
          <w:szCs w:val="24"/>
          <w:lang w:val="en-IN"/>
        </w:rPr>
        <w:t xml:space="preserve"> methodologies systematically identify underlying causes of deviations rather than merely addressing symptoms. During my internship, I learned and applied several RCA tools:</w:t>
      </w:r>
    </w:p>
    <w:p w14:paraId="2EC03AFB" w14:textId="77777777" w:rsidR="00CC5FBA" w:rsidRPr="00CC5FBA" w:rsidRDefault="00CC5FBA" w:rsidP="00CC5FBA">
      <w:pPr>
        <w:numPr>
          <w:ilvl w:val="0"/>
          <w:numId w:val="16"/>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5 Whys Analysis</w:t>
      </w:r>
      <w:r w:rsidRPr="00CC5FBA">
        <w:rPr>
          <w:rFonts w:ascii="Times New Roman" w:eastAsia="Times New Roman" w:hAnsi="Times New Roman" w:cs="Times New Roman"/>
          <w:bCs/>
          <w:sz w:val="24"/>
          <w:szCs w:val="24"/>
          <w:lang w:val="en-IN"/>
        </w:rPr>
        <w:t>: Repeatedly asking "why" to drill down from observed symptoms to underlying root causes. This simple but effective technique helps investigators avoid stopping at superficial causes.</w:t>
      </w:r>
    </w:p>
    <w:p w14:paraId="1FA38B7F" w14:textId="77777777" w:rsidR="00CC5FBA" w:rsidRPr="00CC5FBA" w:rsidRDefault="00CC5FBA" w:rsidP="00CC5FBA">
      <w:pPr>
        <w:numPr>
          <w:ilvl w:val="0"/>
          <w:numId w:val="16"/>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Fishbone Diagrams</w:t>
      </w:r>
      <w:r w:rsidRPr="00CC5FBA">
        <w:rPr>
          <w:rFonts w:ascii="Times New Roman" w:eastAsia="Times New Roman" w:hAnsi="Times New Roman" w:cs="Times New Roman"/>
          <w:bCs/>
          <w:sz w:val="24"/>
          <w:szCs w:val="24"/>
          <w:lang w:val="en-IN"/>
        </w:rPr>
        <w:t>: Organizing potential causes into categories (materials, methods, machines, measurements, environment, personnel) to ensure comprehensive evaluation of all possible contributing factors.</w:t>
      </w:r>
    </w:p>
    <w:p w14:paraId="602B5895" w14:textId="77777777" w:rsidR="00CC5FBA" w:rsidRPr="00CC5FBA" w:rsidRDefault="00CC5FBA" w:rsidP="00CC5FBA">
      <w:pPr>
        <w:numPr>
          <w:ilvl w:val="0"/>
          <w:numId w:val="16"/>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Fault Tree Analysis</w:t>
      </w:r>
      <w:r w:rsidRPr="00CC5FBA">
        <w:rPr>
          <w:rFonts w:ascii="Times New Roman" w:eastAsia="Times New Roman" w:hAnsi="Times New Roman" w:cs="Times New Roman"/>
          <w:bCs/>
          <w:sz w:val="24"/>
          <w:szCs w:val="24"/>
          <w:lang w:val="en-IN"/>
        </w:rPr>
        <w:t xml:space="preserve">: Working backward from the deviation event to identify all possible paths that could lead to the observed result, evaluating which paths </w:t>
      </w:r>
      <w:proofErr w:type="gramStart"/>
      <w:r w:rsidRPr="00CC5FBA">
        <w:rPr>
          <w:rFonts w:ascii="Times New Roman" w:eastAsia="Times New Roman" w:hAnsi="Times New Roman" w:cs="Times New Roman"/>
          <w:bCs/>
          <w:sz w:val="24"/>
          <w:szCs w:val="24"/>
          <w:lang w:val="en-IN"/>
        </w:rPr>
        <w:t>actually occurred</w:t>
      </w:r>
      <w:proofErr w:type="gramEnd"/>
      <w:r w:rsidRPr="00CC5FBA">
        <w:rPr>
          <w:rFonts w:ascii="Times New Roman" w:eastAsia="Times New Roman" w:hAnsi="Times New Roman" w:cs="Times New Roman"/>
          <w:bCs/>
          <w:sz w:val="24"/>
          <w:szCs w:val="24"/>
          <w:lang w:val="en-IN"/>
        </w:rPr>
        <w:t xml:space="preserve"> in the specific incident.</w:t>
      </w:r>
    </w:p>
    <w:p w14:paraId="79F236F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Effective root cause analysis requires gathering complete </w:t>
      </w:r>
      <w:proofErr w:type="gramStart"/>
      <w:r w:rsidRPr="00CC5FBA">
        <w:rPr>
          <w:rFonts w:ascii="Times New Roman" w:eastAsia="Times New Roman" w:hAnsi="Times New Roman" w:cs="Times New Roman"/>
          <w:bCs/>
          <w:sz w:val="24"/>
          <w:szCs w:val="24"/>
          <w:lang w:val="en-IN"/>
        </w:rPr>
        <w:t>factual information</w:t>
      </w:r>
      <w:proofErr w:type="gramEnd"/>
      <w:r w:rsidRPr="00CC5FBA">
        <w:rPr>
          <w:rFonts w:ascii="Times New Roman" w:eastAsia="Times New Roman" w:hAnsi="Times New Roman" w:cs="Times New Roman"/>
          <w:bCs/>
          <w:sz w:val="24"/>
          <w:szCs w:val="24"/>
          <w:lang w:val="en-IN"/>
        </w:rPr>
        <w:t>, maintaining objectivity without premature conclusions, considering human factors and system issues rather than only blaming individuals, and validating root cause hypotheses by confirming that the identified cause could produce the observed effect (Buchholz et al., 2021).</w:t>
      </w:r>
    </w:p>
    <w:p w14:paraId="5C33EF6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Impact Assessment</w:t>
      </w:r>
      <w:r w:rsidRPr="00CC5FBA">
        <w:rPr>
          <w:rFonts w:ascii="Times New Roman" w:eastAsia="Times New Roman" w:hAnsi="Times New Roman" w:cs="Times New Roman"/>
          <w:bCs/>
          <w:sz w:val="24"/>
          <w:szCs w:val="24"/>
          <w:lang w:val="en-IN"/>
        </w:rPr>
        <w:t xml:space="preserve"> evaluates potential effects of deviations on product quality, patient safety, and regulatory compliance status. For deviations occurring during manufacturing, impact assessments consider whether the deviation could affect product Critical Quality Attributes, whether additional testing might be required to demonstrate product acceptability, and whether regulatory reporting obligations exist (Rathore et al., 2022). I assisted in preparing impact assessment reports by reviewing product specifications, evaluating whether quality attributes potentially affected by the deviation were within specifications, and documenting rationale for conclusions about product acceptability.</w:t>
      </w:r>
    </w:p>
    <w:p w14:paraId="4F7459D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Corrective and Preventive Actions (CAPA)</w:t>
      </w:r>
      <w:r w:rsidRPr="00CC5FBA">
        <w:rPr>
          <w:rFonts w:ascii="Times New Roman" w:eastAsia="Times New Roman" w:hAnsi="Times New Roman" w:cs="Times New Roman"/>
          <w:bCs/>
          <w:sz w:val="24"/>
          <w:szCs w:val="24"/>
          <w:lang w:val="en-IN"/>
        </w:rPr>
        <w:t xml:space="preserve"> address root causes and prevent recurrence. Effective CAPAs target root causes rather than symptoms, are specific and measurable, have defined completion timelines and responsible individuals, and include verification activities confirming effectiveness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During my internship, I contributed to CAPA development for deviations including procedure revisions to clarify ambiguous instructions, additional training for personnel on critical operations, equipment modifications or enhanced maintenance programs, and implementation of additional process controls or monitoring to detect issues earlier.</w:t>
      </w:r>
    </w:p>
    <w:p w14:paraId="3DA7B75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CAPA effectiveness checks verify that implemented actions successfully address root causes and prevent recurrence. This might involve monitoring subsequent batches for similar issues, conducting follow-up audits to verify procedure compliance, or testing modified equipment or procedures under challenging conditions (Lopes et al., 2023).</w:t>
      </w:r>
    </w:p>
    <w:p w14:paraId="663178D1"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3.4 Training and Personnel Development</w:t>
      </w:r>
    </w:p>
    <w:p w14:paraId="12F4DF9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Manufacturing personnel competency directly impacts product quality and process consistency, making training and qualification programs critical elements of cGMP compliance and effective manufacturing operations. MSAT plays central roles in developing training materials, conducting technical training sessions, and maintaining training documentation.</w:t>
      </w:r>
    </w:p>
    <w:p w14:paraId="573177E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Training Program Development</w:t>
      </w:r>
      <w:r w:rsidRPr="00CC5FBA">
        <w:rPr>
          <w:rFonts w:ascii="Times New Roman" w:eastAsia="Times New Roman" w:hAnsi="Times New Roman" w:cs="Times New Roman"/>
          <w:bCs/>
          <w:sz w:val="24"/>
          <w:szCs w:val="24"/>
          <w:lang w:val="en-IN"/>
        </w:rPr>
        <w:t xml:space="preserve"> for new processes or process changes requires comprehensive approach encompassing both theoretical understanding and practical skills. During my internship, I assisted in developing training materials including:</w:t>
      </w:r>
    </w:p>
    <w:p w14:paraId="1FD16B34" w14:textId="77777777" w:rsidR="00CC5FBA" w:rsidRPr="00CC5FBA" w:rsidRDefault="00CC5FBA" w:rsidP="00CC5FBA">
      <w:pPr>
        <w:numPr>
          <w:ilvl w:val="0"/>
          <w:numId w:val="17"/>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PowerPoint presentations covering process principles, equipment operation, critical process parameters, and quality control testing</w:t>
      </w:r>
    </w:p>
    <w:p w14:paraId="400A69A8" w14:textId="77777777" w:rsidR="00CC5FBA" w:rsidRPr="00CC5FBA" w:rsidRDefault="00CC5FBA" w:rsidP="00CC5FBA">
      <w:pPr>
        <w:numPr>
          <w:ilvl w:val="0"/>
          <w:numId w:val="17"/>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Standard Operating Procedures (SOPs) providing step-by-step instructions for manufacturing operations</w:t>
      </w:r>
    </w:p>
    <w:p w14:paraId="6A841B9C" w14:textId="77777777" w:rsidR="00CC5FBA" w:rsidRPr="00CC5FBA" w:rsidRDefault="00CC5FBA" w:rsidP="00CC5FBA">
      <w:pPr>
        <w:numPr>
          <w:ilvl w:val="0"/>
          <w:numId w:val="17"/>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Visual aids including process flow diagrams, equipment photographs, and annotated batch record samples</w:t>
      </w:r>
    </w:p>
    <w:p w14:paraId="692417BF" w14:textId="77777777" w:rsidR="00CC5FBA" w:rsidRPr="00CC5FBA" w:rsidRDefault="00CC5FBA" w:rsidP="00CC5FBA">
      <w:pPr>
        <w:numPr>
          <w:ilvl w:val="0"/>
          <w:numId w:val="17"/>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Training assessments testing knowledge retention and understanding</w:t>
      </w:r>
    </w:p>
    <w:p w14:paraId="28AFDFB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Effective training materials present information clearly at appropriate technical levels for target audiences, emphasize critical process steps and potential error modes, include visual </w:t>
      </w:r>
      <w:r w:rsidRPr="00CC5FBA">
        <w:rPr>
          <w:rFonts w:ascii="Times New Roman" w:eastAsia="Times New Roman" w:hAnsi="Times New Roman" w:cs="Times New Roman"/>
          <w:bCs/>
          <w:sz w:val="24"/>
          <w:szCs w:val="24"/>
          <w:lang w:val="en-IN"/>
        </w:rPr>
        <w:lastRenderedPageBreak/>
        <w:t>elements enhancing understanding and retention, and provide practical examples illustrating concepts (Zhang et al., 2020).</w:t>
      </w:r>
    </w:p>
    <w:p w14:paraId="7E2552F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Training Delivery</w:t>
      </w:r>
      <w:r w:rsidRPr="00CC5FBA">
        <w:rPr>
          <w:rFonts w:ascii="Times New Roman" w:eastAsia="Times New Roman" w:hAnsi="Times New Roman" w:cs="Times New Roman"/>
          <w:bCs/>
          <w:sz w:val="24"/>
          <w:szCs w:val="24"/>
          <w:lang w:val="en-IN"/>
        </w:rPr>
        <w:t xml:space="preserve"> involves both classroom instruction and hands-on demonstration. I participated in conducting training sessions for manufacturing personnel, experiencing the challenges of presenting technical information clearly, responding to questions from personnel with varying technical backgrounds, and ensuring trainee understanding through interactive discussion and assessment. Hands-on training sessions conducted in manufacturing areas allowed trainees to practice operations under supervision, building confidence and competency before independent performance (Schenk et al., 2015).</w:t>
      </w:r>
    </w:p>
    <w:p w14:paraId="78EC49A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Training Documentation and Qualification</w:t>
      </w:r>
      <w:r w:rsidRPr="00CC5FBA">
        <w:rPr>
          <w:rFonts w:ascii="Times New Roman" w:eastAsia="Times New Roman" w:hAnsi="Times New Roman" w:cs="Times New Roman"/>
          <w:bCs/>
          <w:sz w:val="24"/>
          <w:szCs w:val="24"/>
          <w:lang w:val="en-IN"/>
        </w:rPr>
        <w:t xml:space="preserve"> maintains records demonstrating personnel competency and authorization to perform specific operations. Training matrices track which individuals have received training on which procedures, with training records documenting dates, instructors, assessment results, and qualification decisions (Stanbury et al., 2017). I assisted in updating training matrices following training sessions, maintaining organized training files for regulatory inspection readiness, and tracking retraining requirements when procedures changed.</w:t>
      </w:r>
    </w:p>
    <w:p w14:paraId="1BD39FE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Qualification typically requires demonstration of competency through written assessments, practical demonstrations, or supervised performance of operations. Some companies utilize tiered qualification systems distinguishing between basic awareness, working knowledge, and expert proficiency levels, with different operational authorities corresponding to qualification levels (Konstantinov &amp; Cooney, 2015).</w:t>
      </w:r>
    </w:p>
    <w:p w14:paraId="20AA5F5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Continuous Learning</w:t>
      </w:r>
      <w:r w:rsidRPr="00CC5FBA">
        <w:rPr>
          <w:rFonts w:ascii="Times New Roman" w:eastAsia="Times New Roman" w:hAnsi="Times New Roman" w:cs="Times New Roman"/>
          <w:bCs/>
          <w:sz w:val="24"/>
          <w:szCs w:val="24"/>
          <w:lang w:val="en-IN"/>
        </w:rPr>
        <w:t xml:space="preserve"> extends beyond initial training through ongoing technical discussions, troubleshooting support, and knowledge sharing. MSAT scientists serve as technical resources for manufacturing personnel, answering questions, explaining process rationale, and providing coaching to enhance understanding. This ongoing interaction builds organizational knowledge and develops manufacturing personnel capabilities beyond rote procedure following (Lara et al., 2019).</w:t>
      </w:r>
    </w:p>
    <w:p w14:paraId="4317B70A"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3.5 Documentation and Regulatory Support</w:t>
      </w:r>
    </w:p>
    <w:p w14:paraId="7FD5C3D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Comprehensive, accurate documentation forms the foundation of cGMP compliance and regulatory confidence in manufacturing operations. My internship provided extensive experience with various documentation types and practices essential for biopharmaceutical manufacturing.</w:t>
      </w:r>
    </w:p>
    <w:p w14:paraId="46C6D45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Master Production Records (MPR)</w:t>
      </w:r>
      <w:r w:rsidRPr="00CC5FBA">
        <w:rPr>
          <w:rFonts w:ascii="Times New Roman" w:eastAsia="Times New Roman" w:hAnsi="Times New Roman" w:cs="Times New Roman"/>
          <w:bCs/>
          <w:sz w:val="24"/>
          <w:szCs w:val="24"/>
          <w:lang w:val="en-IN"/>
        </w:rPr>
        <w:t xml:space="preserve"> serve as master templates defining all aspects of the manufacturing process. MPRs include bill of materials listing all raw materials with specifications and quantities, detailed process steps with parameters and acceptance criteria, equipment identification and operating conditions, in-process controls and testing requirements, critical process steps requiring special attention or verification, and product specifications and release testing requirements (Doran, 2013). I participated in MPR review </w:t>
      </w:r>
      <w:r w:rsidRPr="00CC5FBA">
        <w:rPr>
          <w:rFonts w:ascii="Times New Roman" w:eastAsia="Times New Roman" w:hAnsi="Times New Roman" w:cs="Times New Roman"/>
          <w:bCs/>
          <w:sz w:val="24"/>
          <w:szCs w:val="24"/>
          <w:lang w:val="en-IN"/>
        </w:rPr>
        <w:lastRenderedPageBreak/>
        <w:t>and revision activities, checking technical accuracy, verifying consistency between different process steps, and ensuring clarity of instructions.</w:t>
      </w:r>
    </w:p>
    <w:p w14:paraId="54CCE12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Batch Manufacturing Records (BMR)</w:t>
      </w:r>
      <w:r w:rsidRPr="00CC5FBA">
        <w:rPr>
          <w:rFonts w:ascii="Times New Roman" w:eastAsia="Times New Roman" w:hAnsi="Times New Roman" w:cs="Times New Roman"/>
          <w:bCs/>
          <w:sz w:val="24"/>
          <w:szCs w:val="24"/>
          <w:lang w:val="en-IN"/>
        </w:rPr>
        <w:t xml:space="preserve"> document actual execution of specific manufacturing batches, recording actual materials used with lot numbers and quantities, process parameters achieved during operations, in-process testing results, deviations or unusual observations, personnel signatures documenting performance and verification, and final product testing results (Shuler &amp; Kargi, 2017). BMR review represents a critical quality assurance activity verifying that all required operations were performed, parameters remained within acceptable ranges, and documentation is complete and accurate. I conducted batch record reviews for multiple product batches, checking for completeness, identifying discrepancies requiring investigation, and verifying compliance with procedures and specifications.</w:t>
      </w:r>
    </w:p>
    <w:p w14:paraId="52E65CF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Standard Operating Procedures (SOPs)</w:t>
      </w:r>
      <w:r w:rsidRPr="00CC5FBA">
        <w:rPr>
          <w:rFonts w:ascii="Times New Roman" w:eastAsia="Times New Roman" w:hAnsi="Times New Roman" w:cs="Times New Roman"/>
          <w:bCs/>
          <w:sz w:val="24"/>
          <w:szCs w:val="24"/>
          <w:lang w:val="en-IN"/>
        </w:rPr>
        <w:t xml:space="preserve"> provide standardized instructions ensuring consistent performance of operations across different personnel, shifts, and time periods. During my internship, I assisted in writing and revising SOPs for laboratory testing procedures, equipment operation and maintenance, sampling procedures, and documentation practices. Effective SOP writing requires clarity and specificity while maintaining practical usability, appropriate level of detail for the operation complexity and performer qualifications, logical organization facilitating quick reference, and regular review and updating to reflect current practices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6A88B09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Change Control</w:t>
      </w:r>
      <w:r w:rsidRPr="00CC5FBA">
        <w:rPr>
          <w:rFonts w:ascii="Times New Roman" w:eastAsia="Times New Roman" w:hAnsi="Times New Roman" w:cs="Times New Roman"/>
          <w:bCs/>
          <w:sz w:val="24"/>
          <w:szCs w:val="24"/>
          <w:lang w:val="en-IN"/>
        </w:rPr>
        <w:t xml:space="preserve"> processes manage modifications to validated processes, procedures, facilities, or equipment, ensuring changes are evaluated for impact, appropriately approved, properly implemented, and documented (Rathore et al., 2022). Change control procedures typically categorize changes by risk level, with minor changes requiring simplified evaluation and approval while major changes involving validated systems require extensive evaluation including impact assessments, risk analyses, validation studies, and regulatory notification or approval (Buchholz et al., 2021). I participated in change control activities by preparing change requests, conducting impact assessments evaluating effects on validated processes, and documenting change implementation and verification.</w:t>
      </w:r>
    </w:p>
    <w:p w14:paraId="18EA7FC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Regulatory Support</w:t>
      </w:r>
      <w:r w:rsidRPr="00CC5FBA">
        <w:rPr>
          <w:rFonts w:ascii="Times New Roman" w:eastAsia="Times New Roman" w:hAnsi="Times New Roman" w:cs="Times New Roman"/>
          <w:bCs/>
          <w:sz w:val="24"/>
          <w:szCs w:val="24"/>
          <w:lang w:val="en-IN"/>
        </w:rPr>
        <w:t xml:space="preserve"> provided by MSAT includes preparing technical sections of regulatory submissions, responding to regulatory questions or deficiency letters, supporting regulatory inspections, and maintaining documentation in inspection-ready condition (Walsh, 2018). While direct regulatory submission experience was limited during my internship, I gained appreciation for regulatory considerations through participation in document reviews emphasizing inspection readiness, discussions of regulatory expectations during validation planning, and observation of how regulatory requirements influence decision-making throughout MSAT activities.</w:t>
      </w:r>
    </w:p>
    <w:p w14:paraId="773575C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740C97FB">
          <v:rect id="_x0000_i1118" style="width:0;height:1.5pt" o:hralign="center" o:hrstd="t" o:hr="t" fillcolor="#a0a0a0" stroked="f"/>
        </w:pict>
      </w:r>
    </w:p>
    <w:p w14:paraId="58F3FD67"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4: BIOPROCESSING WORKFLOW</w:t>
      </w:r>
    </w:p>
    <w:p w14:paraId="234D358E"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lastRenderedPageBreak/>
        <w:t>4.1 Upstream Processing Operations</w:t>
      </w:r>
    </w:p>
    <w:p w14:paraId="640C59F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Upstream processing encompasses all activities from initial cell culture establishment through harvest of culture broth containing secreted product. My internship provided comprehensive exposure to upstream operations for both microbial fermentation and mammalian cell culture systems.</w:t>
      </w:r>
    </w:p>
    <w:p w14:paraId="48E3EFE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Cell Banking and Culture Revival</w:t>
      </w:r>
      <w:r w:rsidRPr="00CC5FBA">
        <w:rPr>
          <w:rFonts w:ascii="Times New Roman" w:eastAsia="Times New Roman" w:hAnsi="Times New Roman" w:cs="Times New Roman"/>
          <w:bCs/>
          <w:sz w:val="24"/>
          <w:szCs w:val="24"/>
          <w:lang w:val="en-IN"/>
        </w:rPr>
        <w:t xml:space="preserve"> initiates manufacturing campaigns from cryopreserved cell banks maintained under ultra-low temperature storage conditions, typically -80°C for working cell banks or liquid nitrogen for master cell banks (Jayapal et al., 2007). I participated in cell bank thaw procedures involving rapid warming of cryovials in temperature-controlled water baths, careful transfer of thawed cells to prewarmed growth media, and microscopic examination confirming viable cell morphology. Cell banking systems maintain genetic stability and microbiological purity of production strains while enabling initiation of manufacturing campaigns from </w:t>
      </w:r>
      <w:proofErr w:type="gramStart"/>
      <w:r w:rsidRPr="00CC5FBA">
        <w:rPr>
          <w:rFonts w:ascii="Times New Roman" w:eastAsia="Times New Roman" w:hAnsi="Times New Roman" w:cs="Times New Roman"/>
          <w:bCs/>
          <w:sz w:val="24"/>
          <w:szCs w:val="24"/>
          <w:lang w:val="en-IN"/>
        </w:rPr>
        <w:t>fully characterized,</w:t>
      </w:r>
      <w:proofErr w:type="gramEnd"/>
      <w:r w:rsidRPr="00CC5FBA">
        <w:rPr>
          <w:rFonts w:ascii="Times New Roman" w:eastAsia="Times New Roman" w:hAnsi="Times New Roman" w:cs="Times New Roman"/>
          <w:bCs/>
          <w:sz w:val="24"/>
          <w:szCs w:val="24"/>
          <w:lang w:val="en-IN"/>
        </w:rPr>
        <w:t xml:space="preserve"> qualified cell sources (Huang et al., 2012).</w:t>
      </w:r>
    </w:p>
    <w:p w14:paraId="6B768FC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Seed Train Development</w:t>
      </w:r>
      <w:r w:rsidRPr="00CC5FBA">
        <w:rPr>
          <w:rFonts w:ascii="Times New Roman" w:eastAsia="Times New Roman" w:hAnsi="Times New Roman" w:cs="Times New Roman"/>
          <w:bCs/>
          <w:sz w:val="24"/>
          <w:szCs w:val="24"/>
          <w:lang w:val="en-IN"/>
        </w:rPr>
        <w:t xml:space="preserve"> progressively expands cell populations from small starting volumes through increasingly larger bioreactors until sufficient biomass exists for production bioreactor inoculation. For microbial fermentation processes, seed train might progress from small shake flask cultures through 1L and 10L seed bioreactors to 100L seed bioreactor, with each stage operating under controlled temperature, pH, and aeration conditions optimized for cell growth (Cereghino &amp; Cregg, 2000). Seed culture performance critically impacts production bioreactor results, making careful monitoring of growth rates, cell viability, and culture purity essential throughout seed train operations (Valgepea et al., 2017).</w:t>
      </w:r>
    </w:p>
    <w:p w14:paraId="3E77E8D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I participated in seed culture operations including media preparation and sterilization, inoculation of seed bioreactors from previous stage cultures, monitoring of growth through optical density measurements and microscopic examination, and transfer operations moving cultures to next stage vessels. These hands-on activities provided practical understanding of aseptic technique importance, sampling procedures, and growth phase determination for optimal transfer timing.</w:t>
      </w:r>
    </w:p>
    <w:p w14:paraId="192B741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Production Bioreactor Operation</w:t>
      </w:r>
      <w:r w:rsidRPr="00CC5FBA">
        <w:rPr>
          <w:rFonts w:ascii="Times New Roman" w:eastAsia="Times New Roman" w:hAnsi="Times New Roman" w:cs="Times New Roman"/>
          <w:bCs/>
          <w:sz w:val="24"/>
          <w:szCs w:val="24"/>
          <w:lang w:val="en-IN"/>
        </w:rPr>
        <w:t xml:space="preserve"> represents the central upstream unit operation where </w:t>
      </w:r>
      <w:proofErr w:type="gramStart"/>
      <w:r w:rsidRPr="00CC5FBA">
        <w:rPr>
          <w:rFonts w:ascii="Times New Roman" w:eastAsia="Times New Roman" w:hAnsi="Times New Roman" w:cs="Times New Roman"/>
          <w:bCs/>
          <w:sz w:val="24"/>
          <w:szCs w:val="24"/>
          <w:lang w:val="en-IN"/>
        </w:rPr>
        <w:t>the majority of</w:t>
      </w:r>
      <w:proofErr w:type="gramEnd"/>
      <w:r w:rsidRPr="00CC5FBA">
        <w:rPr>
          <w:rFonts w:ascii="Times New Roman" w:eastAsia="Times New Roman" w:hAnsi="Times New Roman" w:cs="Times New Roman"/>
          <w:bCs/>
          <w:sz w:val="24"/>
          <w:szCs w:val="24"/>
          <w:lang w:val="en-IN"/>
        </w:rPr>
        <w:t xml:space="preserve"> product accumulation occurs. Modern production bioreactors incorporate sophisticated control systems maintaining multiple process parameters within tight ranges throughout culture durations extending days to weeks (Li et al., 2019). During my internship, I observed and participated in various aspects of bioreactor operation:</w:t>
      </w:r>
    </w:p>
    <w:p w14:paraId="3310775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Bioreactor Preparation</w:t>
      </w:r>
      <w:r w:rsidRPr="00CC5FBA">
        <w:rPr>
          <w:rFonts w:ascii="Times New Roman" w:eastAsia="Times New Roman" w:hAnsi="Times New Roman" w:cs="Times New Roman"/>
          <w:bCs/>
          <w:sz w:val="24"/>
          <w:szCs w:val="24"/>
          <w:lang w:val="en-IN"/>
        </w:rPr>
        <w:t>: Prior to each batch, bioreactors undergo comprehensive cleaning using Clean-In-Place (CIP) systems circulating cleaning solutions through all vessel surfaces, ports, and connected piping. Steam-In-Place (SIP) sterilization follows, exposing all surfaces to saturated steam at 121°C for specified durations ensuring complete microbial inactivation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I participated in CIP and SIP operations, learning proper sequencing of cleaning and sterilization cycles, verification procedures confirming successful sterilization, and leak testing ensuring vessel integrity before media addition.</w:t>
      </w:r>
    </w:p>
    <w:p w14:paraId="19BFCD5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Media Preparation and Sterilization</w:t>
      </w:r>
      <w:r w:rsidRPr="00CC5FBA">
        <w:rPr>
          <w:rFonts w:ascii="Times New Roman" w:eastAsia="Times New Roman" w:hAnsi="Times New Roman" w:cs="Times New Roman"/>
          <w:bCs/>
          <w:sz w:val="24"/>
          <w:szCs w:val="24"/>
          <w:lang w:val="en-IN"/>
        </w:rPr>
        <w:t xml:space="preserve">: Batch media containing all nutrients required for cell growth is prepared in dedicated media preparation vessels, with careful control of mixing, dissolution, and final volume. Heat sterilization at 121°C or sterile filtration through 0.22 </w:t>
      </w:r>
      <w:proofErr w:type="spellStart"/>
      <w:r w:rsidRPr="00CC5FBA">
        <w:rPr>
          <w:rFonts w:ascii="Times New Roman" w:eastAsia="Times New Roman" w:hAnsi="Times New Roman" w:cs="Times New Roman"/>
          <w:bCs/>
          <w:sz w:val="24"/>
          <w:szCs w:val="24"/>
          <w:lang w:val="en-IN"/>
        </w:rPr>
        <w:t>μm</w:t>
      </w:r>
      <w:proofErr w:type="spellEnd"/>
      <w:r w:rsidRPr="00CC5FBA">
        <w:rPr>
          <w:rFonts w:ascii="Times New Roman" w:eastAsia="Times New Roman" w:hAnsi="Times New Roman" w:cs="Times New Roman"/>
          <w:bCs/>
          <w:sz w:val="24"/>
          <w:szCs w:val="24"/>
          <w:lang w:val="en-IN"/>
        </w:rPr>
        <w:t xml:space="preserve"> filters ensures media sterility (Sarkar et al., 2016). I assisted in media preparation activities including weighing and adding media components, monitoring sterilization cycles, and conducting quality control testing on prepared media including sterility testing, pH measurement, and osmolality verification.</w:t>
      </w:r>
    </w:p>
    <w:p w14:paraId="6E34DF3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Inoculation and Growth Phase</w:t>
      </w:r>
      <w:r w:rsidRPr="00CC5FBA">
        <w:rPr>
          <w:rFonts w:ascii="Times New Roman" w:eastAsia="Times New Roman" w:hAnsi="Times New Roman" w:cs="Times New Roman"/>
          <w:bCs/>
          <w:sz w:val="24"/>
          <w:szCs w:val="24"/>
          <w:lang w:val="en-IN"/>
        </w:rPr>
        <w:t>: Following media addition and equilibration to target temperature and pH, seed culture inoculum is aseptically transferred to the production bioreactor, typically at 5-10% of working volume. Initial growth phase focuses on biomass accumulation, with cells exponentially dividing under nutrient-replete conditions (</w:t>
      </w:r>
      <w:proofErr w:type="spellStart"/>
      <w:r w:rsidRPr="00CC5FBA">
        <w:rPr>
          <w:rFonts w:ascii="Times New Roman" w:eastAsia="Times New Roman" w:hAnsi="Times New Roman" w:cs="Times New Roman"/>
          <w:bCs/>
          <w:sz w:val="24"/>
          <w:szCs w:val="24"/>
          <w:lang w:val="en-IN"/>
        </w:rPr>
        <w:t>Yamanè</w:t>
      </w:r>
      <w:proofErr w:type="spellEnd"/>
      <w:r w:rsidRPr="00CC5FBA">
        <w:rPr>
          <w:rFonts w:ascii="Times New Roman" w:eastAsia="Times New Roman" w:hAnsi="Times New Roman" w:cs="Times New Roman"/>
          <w:bCs/>
          <w:sz w:val="24"/>
          <w:szCs w:val="24"/>
          <w:lang w:val="en-IN"/>
        </w:rPr>
        <w:t xml:space="preserve"> &amp; Shimizu, 1984). Process monitoring during growth phase includes:</w:t>
      </w:r>
    </w:p>
    <w:p w14:paraId="7D650B30"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Optical density measurements tracking cell concentration</w:t>
      </w:r>
    </w:p>
    <w:p w14:paraId="286B1D29"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Dissolved oxygen levels maintained above critical thresholds (typically 30-40% saturation)</w:t>
      </w:r>
    </w:p>
    <w:p w14:paraId="304A76F3"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pH controlled through automated acid/base addition</w:t>
      </w:r>
    </w:p>
    <w:p w14:paraId="33C225F0"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Temperature maintained at optimal values (28-37°C depending on organism)</w:t>
      </w:r>
    </w:p>
    <w:p w14:paraId="3A3643FA"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Agitation speed adjusted to maintain adequate mixing and oxygen transfer</w:t>
      </w:r>
    </w:p>
    <w:p w14:paraId="4EDA94DA" w14:textId="77777777" w:rsidR="00CC5FBA" w:rsidRPr="00CC5FBA" w:rsidRDefault="00CC5FBA" w:rsidP="00CC5FBA">
      <w:pPr>
        <w:numPr>
          <w:ilvl w:val="0"/>
          <w:numId w:val="18"/>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Foam controlled through antifoam addition as required</w:t>
      </w:r>
    </w:p>
    <w:p w14:paraId="328D508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Fed-Batch Operation</w:t>
      </w:r>
      <w:r w:rsidRPr="00CC5FBA">
        <w:rPr>
          <w:rFonts w:ascii="Times New Roman" w:eastAsia="Times New Roman" w:hAnsi="Times New Roman" w:cs="Times New Roman"/>
          <w:bCs/>
          <w:sz w:val="24"/>
          <w:szCs w:val="24"/>
          <w:lang w:val="en-IN"/>
        </w:rPr>
        <w:t>: As initial nutrients deplete, concentrated feed solutions are added periodically or continuously, providing limiting nutrients while avoiding substrate inhibition or osmotic stress from excessive nutrient concentrations (Lara et al., 2019). Feed addition strategies vary from simple time-based schedules to sophisticated feedback control algorithms responding to real-time measurements of dissolved oxygen, pH, or direct nutrient concentration monitoring. I participated in preparing concentrated feed solutions, programming feeding pumps, and monitoring feed addition during fermentation runs.</w:t>
      </w:r>
    </w:p>
    <w:p w14:paraId="7257230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Induction Phase</w:t>
      </w:r>
      <w:r w:rsidRPr="00CC5FBA">
        <w:rPr>
          <w:rFonts w:ascii="Times New Roman" w:eastAsia="Times New Roman" w:hAnsi="Times New Roman" w:cs="Times New Roman"/>
          <w:bCs/>
          <w:sz w:val="24"/>
          <w:szCs w:val="24"/>
          <w:lang w:val="en-IN"/>
        </w:rPr>
        <w:t xml:space="preserve">: For recombinant protein expression systems utilizing inducible promoters, addition of inducing agents (such as IPTG for lac promoter systems or methanol for Pichia AOX promoter systems) triggers transition from growth phase to production phase where cellular resources redirect toward recombinant protein synthesis (Cereghino &amp; Cregg, 2000). Induction timing, inducer concentration, and post-induction culture duration significantly impact final product </w:t>
      </w:r>
      <w:proofErr w:type="spellStart"/>
      <w:r w:rsidRPr="00CC5FBA">
        <w:rPr>
          <w:rFonts w:ascii="Times New Roman" w:eastAsia="Times New Roman" w:hAnsi="Times New Roman" w:cs="Times New Roman"/>
          <w:bCs/>
          <w:sz w:val="24"/>
          <w:szCs w:val="24"/>
          <w:lang w:val="en-IN"/>
        </w:rPr>
        <w:t>titers</w:t>
      </w:r>
      <w:proofErr w:type="spellEnd"/>
      <w:r w:rsidRPr="00CC5FBA">
        <w:rPr>
          <w:rFonts w:ascii="Times New Roman" w:eastAsia="Times New Roman" w:hAnsi="Times New Roman" w:cs="Times New Roman"/>
          <w:bCs/>
          <w:sz w:val="24"/>
          <w:szCs w:val="24"/>
          <w:lang w:val="en-IN"/>
        </w:rPr>
        <w:t xml:space="preserve"> and require optimization for each expression system.</w:t>
      </w:r>
    </w:p>
    <w:p w14:paraId="13E6E70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Process Monitoring and Sampling</w:t>
      </w:r>
      <w:r w:rsidRPr="00CC5FBA">
        <w:rPr>
          <w:rFonts w:ascii="Times New Roman" w:eastAsia="Times New Roman" w:hAnsi="Times New Roman" w:cs="Times New Roman"/>
          <w:bCs/>
          <w:sz w:val="24"/>
          <w:szCs w:val="24"/>
          <w:lang w:val="en-IN"/>
        </w:rPr>
        <w:t xml:space="preserve">: Throughout bioreactor operation, regular sampling provides information on culture status and process performance. I conducted sampling operations following aseptic procedures, collected samples for various analyses including optical density, cell viability, glucose concentration, protein </w:t>
      </w:r>
      <w:proofErr w:type="spellStart"/>
      <w:r w:rsidRPr="00CC5FBA">
        <w:rPr>
          <w:rFonts w:ascii="Times New Roman" w:eastAsia="Times New Roman" w:hAnsi="Times New Roman" w:cs="Times New Roman"/>
          <w:bCs/>
          <w:sz w:val="24"/>
          <w:szCs w:val="24"/>
          <w:lang w:val="en-IN"/>
        </w:rPr>
        <w:t>titer</w:t>
      </w:r>
      <w:proofErr w:type="spellEnd"/>
      <w:r w:rsidRPr="00CC5FBA">
        <w:rPr>
          <w:rFonts w:ascii="Times New Roman" w:eastAsia="Times New Roman" w:hAnsi="Times New Roman" w:cs="Times New Roman"/>
          <w:bCs/>
          <w:sz w:val="24"/>
          <w:szCs w:val="24"/>
          <w:lang w:val="en-IN"/>
        </w:rPr>
        <w:t>, and microbiological purity, and logged sampling times and results in batch records (Schenk et al., 2015).</w:t>
      </w:r>
    </w:p>
    <w:p w14:paraId="1C39052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Harvest Operations</w:t>
      </w:r>
      <w:r w:rsidRPr="00CC5FBA">
        <w:rPr>
          <w:rFonts w:ascii="Times New Roman" w:eastAsia="Times New Roman" w:hAnsi="Times New Roman" w:cs="Times New Roman"/>
          <w:bCs/>
          <w:sz w:val="24"/>
          <w:szCs w:val="24"/>
          <w:lang w:val="en-IN"/>
        </w:rPr>
        <w:t xml:space="preserve">: Upon reaching target cell density, product </w:t>
      </w:r>
      <w:proofErr w:type="spellStart"/>
      <w:r w:rsidRPr="00CC5FBA">
        <w:rPr>
          <w:rFonts w:ascii="Times New Roman" w:eastAsia="Times New Roman" w:hAnsi="Times New Roman" w:cs="Times New Roman"/>
          <w:bCs/>
          <w:sz w:val="24"/>
          <w:szCs w:val="24"/>
          <w:lang w:val="en-IN"/>
        </w:rPr>
        <w:t>titer</w:t>
      </w:r>
      <w:proofErr w:type="spellEnd"/>
      <w:r w:rsidRPr="00CC5FBA">
        <w:rPr>
          <w:rFonts w:ascii="Times New Roman" w:eastAsia="Times New Roman" w:hAnsi="Times New Roman" w:cs="Times New Roman"/>
          <w:bCs/>
          <w:sz w:val="24"/>
          <w:szCs w:val="24"/>
          <w:lang w:val="en-IN"/>
        </w:rPr>
        <w:t>, or predetermined culture duration, harvest operations initiate downstream processing. For secreted proteins, harvest involves separating cells and cellular debris from culture broth containing product. Centrifugation or depth filtration achieves bulk clarification, followed by additional polishing filtration steps removing remaining particulates (Doran, 2013). I participated in harvest operations including preparing harvest equipment, monitoring harvest flow rates and pressures, collecting clarified harvest for downstream processing, and sampling harvested material for quality verification.</w:t>
      </w:r>
    </w:p>
    <w:p w14:paraId="52868ED1"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4.2 Downstream Processing and Purification</w:t>
      </w:r>
    </w:p>
    <w:p w14:paraId="0F21BAE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Downstream processing isolates and purifies target proteins from complex mixtures of cellular proteins, nucleic acids, media components, and other impurities. My internship included exposure to major downstream unit operations and purification strategies employed in biologics manufacturing.</w:t>
      </w:r>
    </w:p>
    <w:p w14:paraId="1C0AD9C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Chromatographic Purification</w:t>
      </w:r>
      <w:r w:rsidRPr="00CC5FBA">
        <w:rPr>
          <w:rFonts w:ascii="Times New Roman" w:eastAsia="Times New Roman" w:hAnsi="Times New Roman" w:cs="Times New Roman"/>
          <w:bCs/>
          <w:sz w:val="24"/>
          <w:szCs w:val="24"/>
          <w:lang w:val="en-IN"/>
        </w:rPr>
        <w:t xml:space="preserve"> represents the cornerstone of downstream processing for therapeutic proteins, exploiting differences in physical and chemical properties to achieve separation (Stanbury et al., 2017). Major chromatography types utilized in biologics purification include:</w:t>
      </w:r>
    </w:p>
    <w:p w14:paraId="675155D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Affinity Chromatography</w:t>
      </w:r>
      <w:r w:rsidRPr="00CC5FBA">
        <w:rPr>
          <w:rFonts w:ascii="Times New Roman" w:eastAsia="Times New Roman" w:hAnsi="Times New Roman" w:cs="Times New Roman"/>
          <w:bCs/>
          <w:sz w:val="24"/>
          <w:szCs w:val="24"/>
          <w:lang w:val="en-IN"/>
        </w:rPr>
        <w:t xml:space="preserve">: Protein </w:t>
      </w:r>
      <w:proofErr w:type="spellStart"/>
      <w:r w:rsidRPr="00CC5FBA">
        <w:rPr>
          <w:rFonts w:ascii="Times New Roman" w:eastAsia="Times New Roman" w:hAnsi="Times New Roman" w:cs="Times New Roman"/>
          <w:bCs/>
          <w:sz w:val="24"/>
          <w:szCs w:val="24"/>
          <w:lang w:val="en-IN"/>
        </w:rPr>
        <w:t>A</w:t>
      </w:r>
      <w:proofErr w:type="spellEnd"/>
      <w:r w:rsidRPr="00CC5FBA">
        <w:rPr>
          <w:rFonts w:ascii="Times New Roman" w:eastAsia="Times New Roman" w:hAnsi="Times New Roman" w:cs="Times New Roman"/>
          <w:bCs/>
          <w:sz w:val="24"/>
          <w:szCs w:val="24"/>
          <w:lang w:val="en-IN"/>
        </w:rPr>
        <w:t xml:space="preserve"> affinity chromatography dominates monoclonal antibody purification, exploiting specific binding interaction between Protein A ligands immobilized on chromatography resin and Fc regions of antibodies (Huang et al., 2012). This highly selective interaction enables excellent yield and purity in single capture step. I observed Protein A chromatography operations including column packing and qualification, load application at controlled flow rates, washing steps removing loosely bound impurities, low pH elution releasing specifically bound antibody, and column regeneration preparing resin for subsequent cycles. Understanding of binding capacity, residence time, and elution conditions provided insight into chromatography optimization strategies.</w:t>
      </w:r>
    </w:p>
    <w:p w14:paraId="365651C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Ion Exchange Chromatography</w:t>
      </w:r>
      <w:r w:rsidRPr="00CC5FBA">
        <w:rPr>
          <w:rFonts w:ascii="Times New Roman" w:eastAsia="Times New Roman" w:hAnsi="Times New Roman" w:cs="Times New Roman"/>
          <w:bCs/>
          <w:sz w:val="24"/>
          <w:szCs w:val="24"/>
          <w:lang w:val="en-IN"/>
        </w:rPr>
        <w:t>: Exploiting charge differences between target protein and impurities enables effective polishing separations. Anion exchange binds negatively charged molecules while allowing positively charged or neutral species to flow through, while cation exchange operates oppositely (Walsh, 2018). Salt gradients or pH gradients modulate binding interactions, enabling selective elution. I participated in ion exchange chromatography operations, learning about buffer preparation, gradient formation, and fraction collection strategies.</w:t>
      </w:r>
    </w:p>
    <w:p w14:paraId="288BF5C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Hydrophobic Interaction Chromatography</w:t>
      </w:r>
      <w:r w:rsidRPr="00CC5FBA">
        <w:rPr>
          <w:rFonts w:ascii="Times New Roman" w:eastAsia="Times New Roman" w:hAnsi="Times New Roman" w:cs="Times New Roman"/>
          <w:bCs/>
          <w:sz w:val="24"/>
          <w:szCs w:val="24"/>
          <w:lang w:val="en-IN"/>
        </w:rPr>
        <w:t>: Surface hydrophobicity differences enable separation under high salt conditions promoting hydrophobic interactions between proteins and resin ligands (Wurm &amp; Hacker, 2011). Decreasing salt gradients elute bound proteins in order of increasing hydrophobicity. HIC effectively removes aggregated protein and other hydrophobic impurities while maintaining native protein structure.</w:t>
      </w:r>
    </w:p>
    <w:p w14:paraId="1C603C1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Chromatography System Operation</w:t>
      </w:r>
      <w:r w:rsidRPr="00CC5FBA">
        <w:rPr>
          <w:rFonts w:ascii="Times New Roman" w:eastAsia="Times New Roman" w:hAnsi="Times New Roman" w:cs="Times New Roman"/>
          <w:bCs/>
          <w:sz w:val="24"/>
          <w:szCs w:val="24"/>
          <w:lang w:val="en-IN"/>
        </w:rPr>
        <w:t>: Modern chromatography systems incorporate automated control of pumps, valves, and detectors, enabling reproducible execution of complex purification protocols (Rathore et al., 2022). I gained hands-on experience with chromatography system operation including programming methods defining flow rates, buffer compositions, gradient profiles, and fraction collection triggers; monitoring UV absorbance, conductivity, and pressure during runs; troubleshooting issues such as high backpressure or poor resolution; and performing system cleaning and sanitization between batches.</w:t>
      </w:r>
    </w:p>
    <w:p w14:paraId="32ED262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Viral Clearance Operations</w:t>
      </w:r>
      <w:r w:rsidRPr="00CC5FBA">
        <w:rPr>
          <w:rFonts w:ascii="Times New Roman" w:eastAsia="Times New Roman" w:hAnsi="Times New Roman" w:cs="Times New Roman"/>
          <w:bCs/>
          <w:sz w:val="24"/>
          <w:szCs w:val="24"/>
          <w:lang w:val="en-IN"/>
        </w:rPr>
        <w:t xml:space="preserve"> ensure product safety by removing or inactivating potential viral contaminants (Konstantinov &amp; Cooney, 2015). Regulatory expectations require demonstration of multiple orthogonal viral clearance mechanisms achieving cumulative viral reduction factors exceeding 12 logs:</w:t>
      </w:r>
    </w:p>
    <w:p w14:paraId="4EDE698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Low pH Viral Inactivation</w:t>
      </w:r>
      <w:r w:rsidRPr="00CC5FBA">
        <w:rPr>
          <w:rFonts w:ascii="Times New Roman" w:eastAsia="Times New Roman" w:hAnsi="Times New Roman" w:cs="Times New Roman"/>
          <w:bCs/>
          <w:sz w:val="24"/>
          <w:szCs w:val="24"/>
          <w:lang w:val="en-IN"/>
        </w:rPr>
        <w:t xml:space="preserve">: Exposing protein solutions to pH 3.5-4.0 for defined time periods inactivates enveloped viruses through envelope disruption (Zhang et al., 2020). I observed low pH hold operations including pH adjustment using acidic buffers, time monitoring during hold period, and neutralization returning to physiological </w:t>
      </w:r>
      <w:proofErr w:type="spellStart"/>
      <w:r w:rsidRPr="00CC5FBA">
        <w:rPr>
          <w:rFonts w:ascii="Times New Roman" w:eastAsia="Times New Roman" w:hAnsi="Times New Roman" w:cs="Times New Roman"/>
          <w:bCs/>
          <w:sz w:val="24"/>
          <w:szCs w:val="24"/>
          <w:lang w:val="en-IN"/>
        </w:rPr>
        <w:t>pH.</w:t>
      </w:r>
      <w:proofErr w:type="spellEnd"/>
    </w:p>
    <w:p w14:paraId="45846B4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Virus Filtration</w:t>
      </w:r>
      <w:r w:rsidRPr="00CC5FBA">
        <w:rPr>
          <w:rFonts w:ascii="Times New Roman" w:eastAsia="Times New Roman" w:hAnsi="Times New Roman" w:cs="Times New Roman"/>
          <w:bCs/>
          <w:sz w:val="24"/>
          <w:szCs w:val="24"/>
          <w:lang w:val="en-IN"/>
        </w:rPr>
        <w:t>: Nanoporous membranes with mean pore sizes around 20-40 nm physically retain viral particles while allowing smaller protein molecules to pass (Buchholz et al., 2021). Virus filter operation requires careful control of transmembrane pressure to avoid membrane damage or protein breakthrough. I participated in virus filtration operations including filter integrity testing before and after use, controlled pressure filtration, and sampling for viral clearance verification studies.</w:t>
      </w:r>
    </w:p>
    <w:p w14:paraId="0414D5A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Concentration and Buffer Exchange</w:t>
      </w:r>
      <w:r w:rsidRPr="00CC5FBA">
        <w:rPr>
          <w:rFonts w:ascii="Times New Roman" w:eastAsia="Times New Roman" w:hAnsi="Times New Roman" w:cs="Times New Roman"/>
          <w:bCs/>
          <w:sz w:val="24"/>
          <w:szCs w:val="24"/>
          <w:lang w:val="en-IN"/>
        </w:rPr>
        <w:t>: Following purification, ultrafiltration and diafiltration operations concentrate protein solutions and exchange buffers to formulation compositions (Lara et al., 2019). Ultrafiltration membranes with molecular weight cutoffs retaining target proteins while permeating smaller molecules and salts enable both concentration and desalting. Diafiltration involves adding buffer while simultaneously removing permeate, effectively exchanging solution composition without dilution. I participated in UF/DF operations including membrane selection, setting operating parameters, monitoring concentration factors and diafiltration volumes, and endpoint determination.</w:t>
      </w:r>
    </w:p>
    <w:p w14:paraId="2E54D3A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Analytical Methods Supporting Downstream Operations</w:t>
      </w:r>
      <w:r w:rsidRPr="00CC5FBA">
        <w:rPr>
          <w:rFonts w:ascii="Times New Roman" w:eastAsia="Times New Roman" w:hAnsi="Times New Roman" w:cs="Times New Roman"/>
          <w:bCs/>
          <w:sz w:val="24"/>
          <w:szCs w:val="24"/>
          <w:lang w:val="en-IN"/>
        </w:rPr>
        <w:t>: Comprehensive analytical testing verifies purification performance, confirms product quality, and detects impurities:</w:t>
      </w:r>
    </w:p>
    <w:p w14:paraId="0748E77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UV Spectroscopy</w:t>
      </w:r>
      <w:r w:rsidRPr="00CC5FBA">
        <w:rPr>
          <w:rFonts w:ascii="Times New Roman" w:eastAsia="Times New Roman" w:hAnsi="Times New Roman" w:cs="Times New Roman"/>
          <w:bCs/>
          <w:sz w:val="24"/>
          <w:szCs w:val="24"/>
          <w:lang w:val="en-IN"/>
        </w:rPr>
        <w:t>: Measuring absorbance at 280 nm enables rapid protein concentration determination based on aromatic amino acid content (Doran, 2013). I routinely performed UV spectroscopy measurements, learning about blank preparation, sample dilution strategies, and concentration calculations using extinction coefficients.</w:t>
      </w:r>
    </w:p>
    <w:p w14:paraId="12E5923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Size Exclusion Chromatography</w:t>
      </w:r>
      <w:r w:rsidRPr="00CC5FBA">
        <w:rPr>
          <w:rFonts w:ascii="Times New Roman" w:eastAsia="Times New Roman" w:hAnsi="Times New Roman" w:cs="Times New Roman"/>
          <w:bCs/>
          <w:sz w:val="24"/>
          <w:szCs w:val="24"/>
          <w:lang w:val="en-IN"/>
        </w:rPr>
        <w:t xml:space="preserve">: Analytical SEC separates proteins by hydrodynamic size, quantifying monomer content and detecting aggregates or fragments (Shuler &amp; Kargi, 2017). </w:t>
      </w:r>
      <w:r w:rsidRPr="00CC5FBA">
        <w:rPr>
          <w:rFonts w:ascii="Times New Roman" w:eastAsia="Times New Roman" w:hAnsi="Times New Roman" w:cs="Times New Roman"/>
          <w:bCs/>
          <w:sz w:val="24"/>
          <w:szCs w:val="24"/>
          <w:lang w:val="en-IN"/>
        </w:rPr>
        <w:lastRenderedPageBreak/>
        <w:t xml:space="preserve">I </w:t>
      </w:r>
      <w:proofErr w:type="spellStart"/>
      <w:r w:rsidRPr="00CC5FBA">
        <w:rPr>
          <w:rFonts w:ascii="Times New Roman" w:eastAsia="Times New Roman" w:hAnsi="Times New Roman" w:cs="Times New Roman"/>
          <w:bCs/>
          <w:sz w:val="24"/>
          <w:szCs w:val="24"/>
          <w:lang w:val="en-IN"/>
        </w:rPr>
        <w:t>analyzed</w:t>
      </w:r>
      <w:proofErr w:type="spellEnd"/>
      <w:r w:rsidRPr="00CC5FBA">
        <w:rPr>
          <w:rFonts w:ascii="Times New Roman" w:eastAsia="Times New Roman" w:hAnsi="Times New Roman" w:cs="Times New Roman"/>
          <w:bCs/>
          <w:sz w:val="24"/>
          <w:szCs w:val="24"/>
          <w:lang w:val="en-IN"/>
        </w:rPr>
        <w:t xml:space="preserve"> SEC chromatograms, calculating monomer percentages and identifying potential product quality issues.</w:t>
      </w:r>
    </w:p>
    <w:p w14:paraId="0C27C9E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SDS-PAGE</w:t>
      </w:r>
      <w:r w:rsidRPr="00CC5FBA">
        <w:rPr>
          <w:rFonts w:ascii="Times New Roman" w:eastAsia="Times New Roman" w:hAnsi="Times New Roman" w:cs="Times New Roman"/>
          <w:bCs/>
          <w:sz w:val="24"/>
          <w:szCs w:val="24"/>
          <w:lang w:val="en-IN"/>
        </w:rPr>
        <w:t>: Denaturing gel electrophoresis separates proteins by molecular weight, verifying product identity, detecting impurities, and assessing purity (Stanbury et al., 2017). I performed SDS-PAGE analysis including sample preparation, gel preparation and loading, electrophoresis operation, and gel staining and imaging.</w:t>
      </w:r>
    </w:p>
    <w:p w14:paraId="6D78C4E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Host Cell Protein ELISA</w:t>
      </w:r>
      <w:r w:rsidRPr="00CC5FBA">
        <w:rPr>
          <w:rFonts w:ascii="Times New Roman" w:eastAsia="Times New Roman" w:hAnsi="Times New Roman" w:cs="Times New Roman"/>
          <w:bCs/>
          <w:sz w:val="24"/>
          <w:szCs w:val="24"/>
          <w:lang w:val="en-IN"/>
        </w:rPr>
        <w:t>: Immunoassay methods specifically detect and quantify residual host cell proteins representing process-related impurities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Understanding HCP clearance through purification train provided insight into process performance and potential optimization opportunities.</w:t>
      </w:r>
    </w:p>
    <w:p w14:paraId="4D25ED83"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4.3 Formulation and Fill-Finish Operations</w:t>
      </w:r>
    </w:p>
    <w:p w14:paraId="4315AB8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Formulation development creates stable liquid or lyophilized drug products from purified drug substance, while fill-finish operations package formulated product into final containers under aseptic conditions.</w:t>
      </w:r>
    </w:p>
    <w:p w14:paraId="316169C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Formulation Development</w:t>
      </w:r>
      <w:r w:rsidRPr="00CC5FBA">
        <w:rPr>
          <w:rFonts w:ascii="Times New Roman" w:eastAsia="Times New Roman" w:hAnsi="Times New Roman" w:cs="Times New Roman"/>
          <w:bCs/>
          <w:sz w:val="24"/>
          <w:szCs w:val="24"/>
          <w:lang w:val="en-IN"/>
        </w:rPr>
        <w:t xml:space="preserve"> requires careful selection of excipients maintaining protein stability throughout shelf life under specified storage conditions (Rathore et al., 2022). Key formulation components include:</w:t>
      </w:r>
    </w:p>
    <w:p w14:paraId="0124B39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Buffer Systems</w:t>
      </w:r>
      <w:r w:rsidRPr="00CC5FBA">
        <w:rPr>
          <w:rFonts w:ascii="Times New Roman" w:eastAsia="Times New Roman" w:hAnsi="Times New Roman" w:cs="Times New Roman"/>
          <w:bCs/>
          <w:sz w:val="24"/>
          <w:szCs w:val="24"/>
          <w:lang w:val="en-IN"/>
        </w:rPr>
        <w:t>: Maintaining pH within optimal ranges prevents protein degradation through deamidation, oxidation, or other pH-dependent degradation pathways (Walsh, 2018). Common buffers for biologics include phosphate, histidine, citrate, and acetate systems selected based on pH requirements and compatibility with specific proteins.</w:t>
      </w:r>
    </w:p>
    <w:p w14:paraId="7809903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Stabilizers</w:t>
      </w:r>
      <w:r w:rsidRPr="00CC5FBA">
        <w:rPr>
          <w:rFonts w:ascii="Times New Roman" w:eastAsia="Times New Roman" w:hAnsi="Times New Roman" w:cs="Times New Roman"/>
          <w:bCs/>
          <w:sz w:val="24"/>
          <w:szCs w:val="24"/>
          <w:lang w:val="en-IN"/>
        </w:rPr>
        <w:t>: Sugars such as sucrose or trehalose, polyols like sorbitol or mannitol, and amino acids stabilize proteins through multiple mechanisms including preferential exclusion from protein surface, increasing solution viscosity, and direct interaction with protein structure (Wurm &amp; Hacker, 2011). Excipient selection requires extensive stability studies evaluating degradation pathways under accelerated and real-time conditions.</w:t>
      </w:r>
    </w:p>
    <w:p w14:paraId="21EDDC2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Surfactants</w:t>
      </w:r>
      <w:r w:rsidRPr="00CC5FBA">
        <w:rPr>
          <w:rFonts w:ascii="Times New Roman" w:eastAsia="Times New Roman" w:hAnsi="Times New Roman" w:cs="Times New Roman"/>
          <w:bCs/>
          <w:sz w:val="24"/>
          <w:szCs w:val="24"/>
          <w:lang w:val="en-IN"/>
        </w:rPr>
        <w:t>: Polysorbate 20 or 80 prevent surface-induced aggregation during manufacturing operations, storage, and administration by occupying air-liquid and solid-liquid interfaces that might otherwise denature proteins (Huang et al., 2012). Optimal surfactant concentrations balance aggregation prevention against potential oxidation promotion.</w:t>
      </w:r>
    </w:p>
    <w:p w14:paraId="3D23B1A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Preservatives</w:t>
      </w:r>
      <w:r w:rsidRPr="00CC5FBA">
        <w:rPr>
          <w:rFonts w:ascii="Times New Roman" w:eastAsia="Times New Roman" w:hAnsi="Times New Roman" w:cs="Times New Roman"/>
          <w:bCs/>
          <w:sz w:val="24"/>
          <w:szCs w:val="24"/>
          <w:lang w:val="en-IN"/>
        </w:rPr>
        <w:t>: Multi-dose formulations require antimicrobial preservatives such as benzyl alcohol or phenol preventing microbial growth following container opening (Cereghino &amp; Cregg, 2000). Preservative effectiveness testing demonstrates ability to inhibit microbial growth under use conditions.</w:t>
      </w:r>
    </w:p>
    <w:p w14:paraId="1D62A28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I participated in formulation preparation activities including excipient weighing and addition, pH adjustment using acid or base solutions, sterile filtration through 0.22 </w:t>
      </w:r>
      <w:proofErr w:type="spellStart"/>
      <w:r w:rsidRPr="00CC5FBA">
        <w:rPr>
          <w:rFonts w:ascii="Times New Roman" w:eastAsia="Times New Roman" w:hAnsi="Times New Roman" w:cs="Times New Roman"/>
          <w:bCs/>
          <w:sz w:val="24"/>
          <w:szCs w:val="24"/>
          <w:lang w:val="en-IN"/>
        </w:rPr>
        <w:t>μm</w:t>
      </w:r>
      <w:proofErr w:type="spellEnd"/>
      <w:r w:rsidRPr="00CC5FBA">
        <w:rPr>
          <w:rFonts w:ascii="Times New Roman" w:eastAsia="Times New Roman" w:hAnsi="Times New Roman" w:cs="Times New Roman"/>
          <w:bCs/>
          <w:sz w:val="24"/>
          <w:szCs w:val="24"/>
          <w:lang w:val="en-IN"/>
        </w:rPr>
        <w:t xml:space="preserve"> filters, and sampling for analytical testing verifying formulation composition and quality attributes.</w:t>
      </w:r>
    </w:p>
    <w:p w14:paraId="6C0175C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Fill-Finish Operations</w:t>
      </w:r>
      <w:r w:rsidRPr="00CC5FBA">
        <w:rPr>
          <w:rFonts w:ascii="Times New Roman" w:eastAsia="Times New Roman" w:hAnsi="Times New Roman" w:cs="Times New Roman"/>
          <w:bCs/>
          <w:sz w:val="24"/>
          <w:szCs w:val="24"/>
          <w:lang w:val="en-IN"/>
        </w:rPr>
        <w:t xml:space="preserve"> represent the final manufacturing stage, requiring stringent aseptic processing to maintain sterility (Konstantinov &amp; Cooney, 2015). Modern filling operations typically occur in Grade A laminar flow environments within Grade B cleanroom backgrounds, with extensive environmental monitoring confirming absence of microbiological contamination (Li et al., 2019).</w:t>
      </w:r>
    </w:p>
    <w:p w14:paraId="0F10F6C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While direct participation in aseptic filling operations was limited during my internship due to cleanroom access restrictions, I gained understanding of fill-finish principles and requirements through training and observation:</w:t>
      </w:r>
    </w:p>
    <w:p w14:paraId="18D7872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Vial Processing</w:t>
      </w:r>
      <w:r w:rsidRPr="00CC5FBA">
        <w:rPr>
          <w:rFonts w:ascii="Times New Roman" w:eastAsia="Times New Roman" w:hAnsi="Times New Roman" w:cs="Times New Roman"/>
          <w:bCs/>
          <w:sz w:val="24"/>
          <w:szCs w:val="24"/>
          <w:lang w:val="en-IN"/>
        </w:rPr>
        <w:t xml:space="preserve">: Glass vials undergo washing, </w:t>
      </w:r>
      <w:proofErr w:type="spellStart"/>
      <w:r w:rsidRPr="00CC5FBA">
        <w:rPr>
          <w:rFonts w:ascii="Times New Roman" w:eastAsia="Times New Roman" w:hAnsi="Times New Roman" w:cs="Times New Roman"/>
          <w:bCs/>
          <w:sz w:val="24"/>
          <w:szCs w:val="24"/>
          <w:lang w:val="en-IN"/>
        </w:rPr>
        <w:t>depyrogenation</w:t>
      </w:r>
      <w:proofErr w:type="spellEnd"/>
      <w:r w:rsidRPr="00CC5FBA">
        <w:rPr>
          <w:rFonts w:ascii="Times New Roman" w:eastAsia="Times New Roman" w:hAnsi="Times New Roman" w:cs="Times New Roman"/>
          <w:bCs/>
          <w:sz w:val="24"/>
          <w:szCs w:val="24"/>
          <w:lang w:val="en-IN"/>
        </w:rPr>
        <w:t xml:space="preserve"> at high temperatures destroying endotoxins, and sterilization before filling (Schenk et al., 2015). Automated filling machines dispense precise volumes into vials, stoppers are partially inserted allowing lyophilization if required, and caps are crimped securing closures.</w:t>
      </w:r>
    </w:p>
    <w:p w14:paraId="1F68EE1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Syringe Filling</w:t>
      </w:r>
      <w:r w:rsidRPr="00CC5FBA">
        <w:rPr>
          <w:rFonts w:ascii="Times New Roman" w:eastAsia="Times New Roman" w:hAnsi="Times New Roman" w:cs="Times New Roman"/>
          <w:bCs/>
          <w:sz w:val="24"/>
          <w:szCs w:val="24"/>
          <w:lang w:val="en-IN"/>
        </w:rPr>
        <w:t>: Pre-filled syringes offer convenient administration for patients, requiring specialized filling equipment depositing product into syringes, inserting plungers, and attaching needle safety devices or caps (Lara et al., 2019).</w:t>
      </w:r>
    </w:p>
    <w:p w14:paraId="178292B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Inspection</w:t>
      </w:r>
      <w:r w:rsidRPr="00CC5FBA">
        <w:rPr>
          <w:rFonts w:ascii="Times New Roman" w:eastAsia="Times New Roman" w:hAnsi="Times New Roman" w:cs="Times New Roman"/>
          <w:bCs/>
          <w:sz w:val="24"/>
          <w:szCs w:val="24"/>
          <w:lang w:val="en-IN"/>
        </w:rPr>
        <w:t>: All filled units undergo 100% visual inspection detecting defects including particulate matter, container cracks, underfill or overfill, and stopper seating issues (Zhang et al., 2020). Automated inspection systems increasingly supplement manual inspection, providing consistent defect detection.</w:t>
      </w:r>
    </w:p>
    <w:p w14:paraId="07425BD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proofErr w:type="spellStart"/>
      <w:r w:rsidRPr="00CC5FBA">
        <w:rPr>
          <w:rFonts w:ascii="Times New Roman" w:eastAsia="Times New Roman" w:hAnsi="Times New Roman" w:cs="Times New Roman"/>
          <w:bCs/>
          <w:i/>
          <w:iCs/>
          <w:sz w:val="24"/>
          <w:szCs w:val="24"/>
          <w:lang w:val="en-IN"/>
        </w:rPr>
        <w:t>Labeling</w:t>
      </w:r>
      <w:proofErr w:type="spellEnd"/>
      <w:r w:rsidRPr="00CC5FBA">
        <w:rPr>
          <w:rFonts w:ascii="Times New Roman" w:eastAsia="Times New Roman" w:hAnsi="Times New Roman" w:cs="Times New Roman"/>
          <w:bCs/>
          <w:i/>
          <w:iCs/>
          <w:sz w:val="24"/>
          <w:szCs w:val="24"/>
          <w:lang w:val="en-IN"/>
        </w:rPr>
        <w:t xml:space="preserve"> and Packaging</w:t>
      </w:r>
      <w:r w:rsidRPr="00CC5FBA">
        <w:rPr>
          <w:rFonts w:ascii="Times New Roman" w:eastAsia="Times New Roman" w:hAnsi="Times New Roman" w:cs="Times New Roman"/>
          <w:bCs/>
          <w:sz w:val="24"/>
          <w:szCs w:val="24"/>
          <w:lang w:val="en-IN"/>
        </w:rPr>
        <w:t>: Approved labels containing product information, batch numbers, and expiration dates are applied to containers, which are packaged in secondary packaging with package inserts and shipped under controlled temperature conditions (Buchholz et al., 2021).</w:t>
      </w:r>
    </w:p>
    <w:p w14:paraId="17C9B174"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4.4 Quality Control and Analytical Methods</w:t>
      </w:r>
    </w:p>
    <w:p w14:paraId="2FA9760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Comprehensive quality control testing throughout manufacturing verifies process performance, confirms product quality, and detects deviations requiring investigation. My internship included extensive hands-on experience with various analytical methods critical for bioprocess monitoring and product release.</w:t>
      </w:r>
    </w:p>
    <w:p w14:paraId="1321979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Bioprocess Monitoring Methods</w:t>
      </w:r>
      <w:r w:rsidRPr="00CC5FBA">
        <w:rPr>
          <w:rFonts w:ascii="Times New Roman" w:eastAsia="Times New Roman" w:hAnsi="Times New Roman" w:cs="Times New Roman"/>
          <w:bCs/>
          <w:sz w:val="24"/>
          <w:szCs w:val="24"/>
          <w:lang w:val="en-IN"/>
        </w:rPr>
        <w:t xml:space="preserve"> track culture performance and guide process control decisions:</w:t>
      </w:r>
    </w:p>
    <w:p w14:paraId="0AC0C29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Optical Density Measurement</w:t>
      </w:r>
      <w:r w:rsidRPr="00CC5FBA">
        <w:rPr>
          <w:rFonts w:ascii="Times New Roman" w:eastAsia="Times New Roman" w:hAnsi="Times New Roman" w:cs="Times New Roman"/>
          <w:bCs/>
          <w:sz w:val="24"/>
          <w:szCs w:val="24"/>
          <w:lang w:val="en-IN"/>
        </w:rPr>
        <w:t>: Spectrophotometric measurement at 600 nm provides rapid assessment of cell concentration based on light scattering (Doran, 2013). I routinely performed OD measurements, learning proper blank preparation, sample dilution to linear range, and troubleshooting inconsistent results.</w:t>
      </w:r>
    </w:p>
    <w:p w14:paraId="1FF6BD3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Viable Cell Counting</w:t>
      </w:r>
      <w:r w:rsidRPr="00CC5FBA">
        <w:rPr>
          <w:rFonts w:ascii="Times New Roman" w:eastAsia="Times New Roman" w:hAnsi="Times New Roman" w:cs="Times New Roman"/>
          <w:bCs/>
          <w:sz w:val="24"/>
          <w:szCs w:val="24"/>
          <w:lang w:val="en-IN"/>
        </w:rPr>
        <w:t xml:space="preserve">: Distinguishing viable from non-viable cells using trypan blue exclusion and </w:t>
      </w:r>
      <w:proofErr w:type="spellStart"/>
      <w:r w:rsidRPr="00CC5FBA">
        <w:rPr>
          <w:rFonts w:ascii="Times New Roman" w:eastAsia="Times New Roman" w:hAnsi="Times New Roman" w:cs="Times New Roman"/>
          <w:bCs/>
          <w:sz w:val="24"/>
          <w:szCs w:val="24"/>
          <w:lang w:val="en-IN"/>
        </w:rPr>
        <w:t>hemocytometer</w:t>
      </w:r>
      <w:proofErr w:type="spellEnd"/>
      <w:r w:rsidRPr="00CC5FBA">
        <w:rPr>
          <w:rFonts w:ascii="Times New Roman" w:eastAsia="Times New Roman" w:hAnsi="Times New Roman" w:cs="Times New Roman"/>
          <w:bCs/>
          <w:sz w:val="24"/>
          <w:szCs w:val="24"/>
          <w:lang w:val="en-IN"/>
        </w:rPr>
        <w:t xml:space="preserve"> counting provides accurate viability assessment (Shuler &amp; Kargi, 2017). I performed viable cell counts including sample preparation, dye addition, </w:t>
      </w:r>
      <w:proofErr w:type="spellStart"/>
      <w:r w:rsidRPr="00CC5FBA">
        <w:rPr>
          <w:rFonts w:ascii="Times New Roman" w:eastAsia="Times New Roman" w:hAnsi="Times New Roman" w:cs="Times New Roman"/>
          <w:bCs/>
          <w:sz w:val="24"/>
          <w:szCs w:val="24"/>
          <w:lang w:val="en-IN"/>
        </w:rPr>
        <w:t>hemocytometer</w:t>
      </w:r>
      <w:proofErr w:type="spellEnd"/>
      <w:r w:rsidRPr="00CC5FBA">
        <w:rPr>
          <w:rFonts w:ascii="Times New Roman" w:eastAsia="Times New Roman" w:hAnsi="Times New Roman" w:cs="Times New Roman"/>
          <w:bCs/>
          <w:sz w:val="24"/>
          <w:szCs w:val="24"/>
          <w:lang w:val="en-IN"/>
        </w:rPr>
        <w:t xml:space="preserve"> loading and counting, and viability calculation.</w:t>
      </w:r>
    </w:p>
    <w:p w14:paraId="57C5484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Glucose and Metabolite Analysis</w:t>
      </w:r>
      <w:r w:rsidRPr="00CC5FBA">
        <w:rPr>
          <w:rFonts w:ascii="Times New Roman" w:eastAsia="Times New Roman" w:hAnsi="Times New Roman" w:cs="Times New Roman"/>
          <w:bCs/>
          <w:sz w:val="24"/>
          <w:szCs w:val="24"/>
          <w:lang w:val="en-IN"/>
        </w:rPr>
        <w:t xml:space="preserve">: Monitoring glucose consumption and metabolic by-product accumulation (lactate, ammonia) provides insight into cellular metabolism and identifies potential nutrient limitations or inhibitory conditions (Sarkar et al., 2016). I operated enzymatic </w:t>
      </w:r>
      <w:proofErr w:type="spellStart"/>
      <w:r w:rsidRPr="00CC5FBA">
        <w:rPr>
          <w:rFonts w:ascii="Times New Roman" w:eastAsia="Times New Roman" w:hAnsi="Times New Roman" w:cs="Times New Roman"/>
          <w:bCs/>
          <w:sz w:val="24"/>
          <w:szCs w:val="24"/>
          <w:lang w:val="en-IN"/>
        </w:rPr>
        <w:t>analyzer</w:t>
      </w:r>
      <w:proofErr w:type="spellEnd"/>
      <w:r w:rsidRPr="00CC5FBA">
        <w:rPr>
          <w:rFonts w:ascii="Times New Roman" w:eastAsia="Times New Roman" w:hAnsi="Times New Roman" w:cs="Times New Roman"/>
          <w:bCs/>
          <w:sz w:val="24"/>
          <w:szCs w:val="24"/>
          <w:lang w:val="en-IN"/>
        </w:rPr>
        <w:t xml:space="preserve"> systems measuring these metabolites in culture samples.</w:t>
      </w:r>
    </w:p>
    <w:p w14:paraId="4671FA0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 xml:space="preserve">Protein </w:t>
      </w:r>
      <w:proofErr w:type="spellStart"/>
      <w:r w:rsidRPr="00CC5FBA">
        <w:rPr>
          <w:rFonts w:ascii="Times New Roman" w:eastAsia="Times New Roman" w:hAnsi="Times New Roman" w:cs="Times New Roman"/>
          <w:bCs/>
          <w:i/>
          <w:iCs/>
          <w:sz w:val="24"/>
          <w:szCs w:val="24"/>
          <w:lang w:val="en-IN"/>
        </w:rPr>
        <w:t>Titer</w:t>
      </w:r>
      <w:proofErr w:type="spellEnd"/>
      <w:r w:rsidRPr="00CC5FBA">
        <w:rPr>
          <w:rFonts w:ascii="Times New Roman" w:eastAsia="Times New Roman" w:hAnsi="Times New Roman" w:cs="Times New Roman"/>
          <w:bCs/>
          <w:i/>
          <w:iCs/>
          <w:sz w:val="24"/>
          <w:szCs w:val="24"/>
          <w:lang w:val="en-IN"/>
        </w:rPr>
        <w:t xml:space="preserve"> Determination</w:t>
      </w:r>
      <w:r w:rsidRPr="00CC5FBA">
        <w:rPr>
          <w:rFonts w:ascii="Times New Roman" w:eastAsia="Times New Roman" w:hAnsi="Times New Roman" w:cs="Times New Roman"/>
          <w:bCs/>
          <w:sz w:val="24"/>
          <w:szCs w:val="24"/>
          <w:lang w:val="en-IN"/>
        </w:rPr>
        <w:t>: ELISA or Protein A HPLC methods quantify product accumulation during culture, guiding harvest timing and enabling productivity calculations (Valgepea et al., 2017). I performed protein quantification assays, generating standard curves and calculating sample concentrations.</w:t>
      </w:r>
    </w:p>
    <w:p w14:paraId="1D9271A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Product Quality Analytical Methods</w:t>
      </w:r>
      <w:r w:rsidRPr="00CC5FBA">
        <w:rPr>
          <w:rFonts w:ascii="Times New Roman" w:eastAsia="Times New Roman" w:hAnsi="Times New Roman" w:cs="Times New Roman"/>
          <w:bCs/>
          <w:sz w:val="24"/>
          <w:szCs w:val="24"/>
          <w:lang w:val="en-IN"/>
        </w:rPr>
        <w:t xml:space="preserve"> verify identity, purity, potency, and safety:</w:t>
      </w:r>
    </w:p>
    <w:p w14:paraId="161FF97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Bradford Protein Assay</w:t>
      </w:r>
      <w:r w:rsidRPr="00CC5FBA">
        <w:rPr>
          <w:rFonts w:ascii="Times New Roman" w:eastAsia="Times New Roman" w:hAnsi="Times New Roman" w:cs="Times New Roman"/>
          <w:bCs/>
          <w:sz w:val="24"/>
          <w:szCs w:val="24"/>
          <w:lang w:val="en-IN"/>
        </w:rPr>
        <w:t>: Colorimetric method based on Coomassie dye binding enables rapid total protein quantification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I routinely performed Bradford assays including standard curve generation, sample analysis, and concentration calculation, appreciating method simplicity while understanding limitations including dye-protein binding variability and interference from certain buffer components.</w:t>
      </w:r>
    </w:p>
    <w:p w14:paraId="63B1976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Osmometry</w:t>
      </w:r>
      <w:r w:rsidRPr="00CC5FBA">
        <w:rPr>
          <w:rFonts w:ascii="Times New Roman" w:eastAsia="Times New Roman" w:hAnsi="Times New Roman" w:cs="Times New Roman"/>
          <w:bCs/>
          <w:sz w:val="24"/>
          <w:szCs w:val="24"/>
          <w:lang w:val="en-IN"/>
        </w:rPr>
        <w:t>: Measuring solution osmolality ensures formulations are isotonic with physiological fluids, preventing injection site pain or adverse reactions (Rathore et al., 2022). I operated vapor pressure osmometers, learning about calibration procedures, sample handling, and interpretation of results relative to specifications.</w:t>
      </w:r>
    </w:p>
    <w:p w14:paraId="2F0B2AF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pH and Conductivity Measurement</w:t>
      </w:r>
      <w:r w:rsidRPr="00CC5FBA">
        <w:rPr>
          <w:rFonts w:ascii="Times New Roman" w:eastAsia="Times New Roman" w:hAnsi="Times New Roman" w:cs="Times New Roman"/>
          <w:bCs/>
          <w:sz w:val="24"/>
          <w:szCs w:val="24"/>
          <w:lang w:val="en-IN"/>
        </w:rPr>
        <w:t>: Verifying pH and ionic strength throughout processing ensures process control and product quality (Walsh, 2018). I performed routine pH and conductivity measurements, appreciating importance of proper calibration and maintenance of electrodes.</w:t>
      </w:r>
    </w:p>
    <w:p w14:paraId="5A7BC43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Sterility Testing</w:t>
      </w:r>
      <w:r w:rsidRPr="00CC5FBA">
        <w:rPr>
          <w:rFonts w:ascii="Times New Roman" w:eastAsia="Times New Roman" w:hAnsi="Times New Roman" w:cs="Times New Roman"/>
          <w:bCs/>
          <w:sz w:val="24"/>
          <w:szCs w:val="24"/>
          <w:lang w:val="en-IN"/>
        </w:rPr>
        <w:t>: Confirming absence of microbiological contamination represents critical product release requirement (Konstantinov &amp; Cooney, 2015). While performing actual sterility tests on release samples was beyond internship scope, I learned sterility testing principles, media preparation, and incubation conditions.</w:t>
      </w:r>
    </w:p>
    <w:p w14:paraId="5923F35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Endotoxin Testing</w:t>
      </w:r>
      <w:r w:rsidRPr="00CC5FBA">
        <w:rPr>
          <w:rFonts w:ascii="Times New Roman" w:eastAsia="Times New Roman" w:hAnsi="Times New Roman" w:cs="Times New Roman"/>
          <w:bCs/>
          <w:sz w:val="24"/>
          <w:szCs w:val="24"/>
          <w:lang w:val="en-IN"/>
        </w:rPr>
        <w:t xml:space="preserve">: Detecting bacterial endotoxins ensures products meet safety requirements for parenteral administration (Wurm &amp; Hacker, 2011). I observed LAL (Limulus </w:t>
      </w:r>
      <w:proofErr w:type="spellStart"/>
      <w:r w:rsidRPr="00CC5FBA">
        <w:rPr>
          <w:rFonts w:ascii="Times New Roman" w:eastAsia="Times New Roman" w:hAnsi="Times New Roman" w:cs="Times New Roman"/>
          <w:bCs/>
          <w:sz w:val="24"/>
          <w:szCs w:val="24"/>
          <w:lang w:val="en-IN"/>
        </w:rPr>
        <w:t>Amebocyte</w:t>
      </w:r>
      <w:proofErr w:type="spellEnd"/>
      <w:r w:rsidRPr="00CC5FBA">
        <w:rPr>
          <w:rFonts w:ascii="Times New Roman" w:eastAsia="Times New Roman" w:hAnsi="Times New Roman" w:cs="Times New Roman"/>
          <w:bCs/>
          <w:sz w:val="24"/>
          <w:szCs w:val="24"/>
          <w:lang w:val="en-IN"/>
        </w:rPr>
        <w:t xml:space="preserve"> Lysate) assay performance, understanding sensitivity requirements and interpretation of results.</w:t>
      </w:r>
    </w:p>
    <w:p w14:paraId="533BE7C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222F6E0C">
          <v:rect id="_x0000_i1119" style="width:0;height:1.5pt" o:hralign="center" o:hrstd="t" o:hr="t" fillcolor="#a0a0a0" stroked="f"/>
        </w:pict>
      </w:r>
    </w:p>
    <w:p w14:paraId="3C380248"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5: PROCESS VALIDATION AND CONTROL</w:t>
      </w:r>
    </w:p>
    <w:p w14:paraId="4BBC4C16"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5.1 Process Design and Development</w:t>
      </w:r>
    </w:p>
    <w:p w14:paraId="11BFD03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Process design represents the foundational stage where manufacturing processes are conceived, developed, and characterized based on scientific understanding and quality risk management (Rathore, 2009). While process design occurs primarily in R&amp;D laboratories </w:t>
      </w:r>
      <w:r w:rsidRPr="00CC5FBA">
        <w:rPr>
          <w:rFonts w:ascii="Times New Roman" w:eastAsia="Times New Roman" w:hAnsi="Times New Roman" w:cs="Times New Roman"/>
          <w:bCs/>
          <w:sz w:val="24"/>
          <w:szCs w:val="24"/>
          <w:lang w:val="en-IN"/>
        </w:rPr>
        <w:lastRenderedPageBreak/>
        <w:t>before MSAT involvement, understanding design rationale and development history proved essential for my MSAT activities.</w:t>
      </w:r>
    </w:p>
    <w:p w14:paraId="06A3C13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Quality Target Product Profile (QTPP)</w:t>
      </w:r>
      <w:r w:rsidRPr="00CC5FBA">
        <w:rPr>
          <w:rFonts w:ascii="Times New Roman" w:eastAsia="Times New Roman" w:hAnsi="Times New Roman" w:cs="Times New Roman"/>
          <w:bCs/>
          <w:sz w:val="24"/>
          <w:szCs w:val="24"/>
          <w:lang w:val="en-IN"/>
        </w:rPr>
        <w:t xml:space="preserve"> defines desired product characteristics ensuring efficacy and safety, including route of administration, dosage form, delivery system, dosage strength, pharmacokinetic characteristics, and stability profile (Rathore et al., 2022). QTPP establishes quality objectives guiding process development decisions. During Tech Transfer Document reviews, I examined how QTPP requirements influenced manufacturing process design choices.</w:t>
      </w:r>
    </w:p>
    <w:p w14:paraId="5338691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Critical Quality Attributes (CQA)</w:t>
      </w:r>
      <w:r w:rsidRPr="00CC5FBA">
        <w:rPr>
          <w:rFonts w:ascii="Times New Roman" w:eastAsia="Times New Roman" w:hAnsi="Times New Roman" w:cs="Times New Roman"/>
          <w:bCs/>
          <w:sz w:val="24"/>
          <w:szCs w:val="24"/>
          <w:lang w:val="en-IN"/>
        </w:rPr>
        <w:t xml:space="preserve"> represent physical, chemical, biological, or microbiological properties with appropriate limits, ranges, or distributions ensuring desired product quality (Buchholz et al., 2021). For therapeutic proteins, CQAs typically include:</w:t>
      </w:r>
    </w:p>
    <w:p w14:paraId="362593B1"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Primary structure (amino acid sequence, disulfide bonds)</w:t>
      </w:r>
    </w:p>
    <w:p w14:paraId="5A9FC770"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Higher order structure (secondary, tertiary, quaternary structure)</w:t>
      </w:r>
    </w:p>
    <w:p w14:paraId="3EB3013C"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Post-translational modifications (glycosylation patterns, oxidation, deamidation)</w:t>
      </w:r>
    </w:p>
    <w:p w14:paraId="744323B3"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Purity (host cell proteins, DNA, process-related impurities)</w:t>
      </w:r>
    </w:p>
    <w:p w14:paraId="4EBD801D"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Product-related substances (aggregates, fragments, charge variants)</w:t>
      </w:r>
    </w:p>
    <w:p w14:paraId="56E8BC90"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Potency (biological activity, binding affinity)</w:t>
      </w:r>
    </w:p>
    <w:p w14:paraId="3996CCF6" w14:textId="77777777" w:rsidR="00CC5FBA" w:rsidRPr="00CC5FBA" w:rsidRDefault="00CC5FBA" w:rsidP="00CC5FBA">
      <w:pPr>
        <w:numPr>
          <w:ilvl w:val="0"/>
          <w:numId w:val="19"/>
        </w:num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Safety attributes (bioburden, endotoxin, viral safety)</w:t>
      </w:r>
    </w:p>
    <w:p w14:paraId="6941BB6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Critical Process Parameters (CPP)</w:t>
      </w:r>
      <w:r w:rsidRPr="00CC5FBA">
        <w:rPr>
          <w:rFonts w:ascii="Times New Roman" w:eastAsia="Times New Roman" w:hAnsi="Times New Roman" w:cs="Times New Roman"/>
          <w:bCs/>
          <w:sz w:val="24"/>
          <w:szCs w:val="24"/>
          <w:lang w:val="en-IN"/>
        </w:rPr>
        <w:t xml:space="preserve"> represent process inputs having potential to impact CQAs and therefore requiring monitoring and control (Lara et al., 2019). Identification of CPPs emerges from process characterization studies systematically evaluating effects of process variables on product quality. For upstream processing, typical CPPs include culture temperature, pH, dissolved oxygen concentration, feeding rates and compositions, induction timing and concentration, and culture duration. For downstream processing, CPPs include column loading densities, wash and elution conditions, hold times and temperatures, and buffer pH and conductivity values.</w:t>
      </w:r>
    </w:p>
    <w:p w14:paraId="19BE530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Design of Experiments</w:t>
      </w:r>
      <w:r w:rsidRPr="00CC5FBA">
        <w:rPr>
          <w:rFonts w:ascii="Times New Roman" w:eastAsia="Times New Roman" w:hAnsi="Times New Roman" w:cs="Times New Roman"/>
          <w:bCs/>
          <w:sz w:val="24"/>
          <w:szCs w:val="24"/>
          <w:lang w:val="en-IN"/>
        </w:rPr>
        <w:t xml:space="preserve"> methodologies enable efficient exploration of process parameter spaces, understanding interactions between variables, and optimization of operating conditions (Valgepea et al., 2017). During my review of process development reports, I examined DoE study designs, </w:t>
      </w:r>
      <w:proofErr w:type="spellStart"/>
      <w:r w:rsidRPr="00CC5FBA">
        <w:rPr>
          <w:rFonts w:ascii="Times New Roman" w:eastAsia="Times New Roman" w:hAnsi="Times New Roman" w:cs="Times New Roman"/>
          <w:bCs/>
          <w:sz w:val="24"/>
          <w:szCs w:val="24"/>
          <w:lang w:val="en-IN"/>
        </w:rPr>
        <w:t>analyzed</w:t>
      </w:r>
      <w:proofErr w:type="spellEnd"/>
      <w:r w:rsidRPr="00CC5FBA">
        <w:rPr>
          <w:rFonts w:ascii="Times New Roman" w:eastAsia="Times New Roman" w:hAnsi="Times New Roman" w:cs="Times New Roman"/>
          <w:bCs/>
          <w:sz w:val="24"/>
          <w:szCs w:val="24"/>
          <w:lang w:val="en-IN"/>
        </w:rPr>
        <w:t xml:space="preserve"> response surface plots showing relationships between variables and responses, and learned how statistical models derived from DoE data establish acceptable operating ranges for CPPs.</w:t>
      </w:r>
    </w:p>
    <w:p w14:paraId="3584F94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Control Strategy</w:t>
      </w:r>
      <w:r w:rsidRPr="00CC5FBA">
        <w:rPr>
          <w:rFonts w:ascii="Times New Roman" w:eastAsia="Times New Roman" w:hAnsi="Times New Roman" w:cs="Times New Roman"/>
          <w:bCs/>
          <w:sz w:val="24"/>
          <w:szCs w:val="24"/>
          <w:lang w:val="en-IN"/>
        </w:rPr>
        <w:t xml:space="preserve"> defines the planned set of controls ensuring process performance and product quality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Effective control strategies incorporate multiple elements including input material controls specifying raw material quality attributes, process controls defining operating parameters and their acceptable ranges, monitoring and measurement systems providing real-time or near-real-time process feedback, in-process </w:t>
      </w:r>
      <w:r w:rsidRPr="00CC5FBA">
        <w:rPr>
          <w:rFonts w:ascii="Times New Roman" w:eastAsia="Times New Roman" w:hAnsi="Times New Roman" w:cs="Times New Roman"/>
          <w:bCs/>
          <w:sz w:val="24"/>
          <w:szCs w:val="24"/>
          <w:lang w:val="en-IN"/>
        </w:rPr>
        <w:lastRenderedPageBreak/>
        <w:t>testing verifying intermediate quality, and product specifications with release testing requirements (Schenk et al., 2015). During my internship, I gained appreciation for how comprehensive control strategies provide assurance of consistent process performance and product quality even in presence of normal manufacturing variability.</w:t>
      </w:r>
    </w:p>
    <w:p w14:paraId="495B2328"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5.2 Process Performance Qualification (PPQ)</w:t>
      </w:r>
    </w:p>
    <w:p w14:paraId="486088A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Process Performance Qualification represents the validation stage demonstrating that commercial-scale manufacturing processes consistently produce products meeting all predetermined specifications and quality attributes (Konstantinov &amp; Cooney, 2015). My internship provided extensive involvement in PPQ activities across multiple product platforms, offering practical understanding of validation execution and documentation requirements.</w:t>
      </w:r>
    </w:p>
    <w:p w14:paraId="3A664CD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PPQ Protocol Development</w:t>
      </w:r>
      <w:r w:rsidRPr="00CC5FBA">
        <w:rPr>
          <w:rFonts w:ascii="Times New Roman" w:eastAsia="Times New Roman" w:hAnsi="Times New Roman" w:cs="Times New Roman"/>
          <w:bCs/>
          <w:sz w:val="24"/>
          <w:szCs w:val="24"/>
          <w:lang w:val="en-IN"/>
        </w:rPr>
        <w:t xml:space="preserve"> establishes the framework for validation studies, defining objectives, scope, responsibilities, acceptance criteria, testing plans, and data analysis approaches (Li et al., 2019). During protocol development activities, I contributed to:</w:t>
      </w:r>
    </w:p>
    <w:p w14:paraId="019E074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Defining Study Objectives</w:t>
      </w:r>
      <w:r w:rsidRPr="00CC5FBA">
        <w:rPr>
          <w:rFonts w:ascii="Times New Roman" w:eastAsia="Times New Roman" w:hAnsi="Times New Roman" w:cs="Times New Roman"/>
          <w:bCs/>
          <w:sz w:val="24"/>
          <w:szCs w:val="24"/>
          <w:lang w:val="en-IN"/>
        </w:rPr>
        <w:t>: Clearly articulating what the validation study will demonstrate, typically including process capability, reproducibility, and ability to consistently meet specifications across multiple batches manufactured under routine commercial conditions (Zhang et al., 2020).</w:t>
      </w:r>
    </w:p>
    <w:p w14:paraId="268B0E3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Establishing Acceptance Criteria</w:t>
      </w:r>
      <w:r w:rsidRPr="00CC5FBA">
        <w:rPr>
          <w:rFonts w:ascii="Times New Roman" w:eastAsia="Times New Roman" w:hAnsi="Times New Roman" w:cs="Times New Roman"/>
          <w:bCs/>
          <w:sz w:val="24"/>
          <w:szCs w:val="24"/>
          <w:lang w:val="en-IN"/>
        </w:rPr>
        <w:t xml:space="preserve">: Specifying quantitative criteria for successful validation, including requirements that all critical process parameters remain within validated ranges, all critical quality attributes meet specifications, process capability indices (Cp, </w:t>
      </w:r>
      <w:proofErr w:type="spellStart"/>
      <w:r w:rsidRPr="00CC5FBA">
        <w:rPr>
          <w:rFonts w:ascii="Times New Roman" w:eastAsia="Times New Roman" w:hAnsi="Times New Roman" w:cs="Times New Roman"/>
          <w:bCs/>
          <w:sz w:val="24"/>
          <w:szCs w:val="24"/>
          <w:lang w:val="en-IN"/>
        </w:rPr>
        <w:t>Cpk</w:t>
      </w:r>
      <w:proofErr w:type="spellEnd"/>
      <w:r w:rsidRPr="00CC5FBA">
        <w:rPr>
          <w:rFonts w:ascii="Times New Roman" w:eastAsia="Times New Roman" w:hAnsi="Times New Roman" w:cs="Times New Roman"/>
          <w:bCs/>
          <w:sz w:val="24"/>
          <w:szCs w:val="24"/>
          <w:lang w:val="en-IN"/>
        </w:rPr>
        <w:t>) exceed minimum values (typically 1.33 or greater), and no deviations occur that could impact product quality (Buchholz et al., 2021).</w:t>
      </w:r>
    </w:p>
    <w:p w14:paraId="3FACDD0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Developing Sampling Plans</w:t>
      </w:r>
      <w:r w:rsidRPr="00CC5FBA">
        <w:rPr>
          <w:rFonts w:ascii="Times New Roman" w:eastAsia="Times New Roman" w:hAnsi="Times New Roman" w:cs="Times New Roman"/>
          <w:bCs/>
          <w:sz w:val="24"/>
          <w:szCs w:val="24"/>
          <w:lang w:val="en-IN"/>
        </w:rPr>
        <w:t>: Defining what samples will be collected, when sampling will occur, how samples will be handled and tested, and what additional testing beyond routine quality control will be performed (Lara et al., 2019). Enhanced sampling during PPQ often includes increased sampling frequency for in-process parameters, testing of quality attributes not routinely monitored during commercial manufacturing, and retention samples for potential future investigation if questions arise.</w:t>
      </w:r>
    </w:p>
    <w:p w14:paraId="65A8F9E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Planning Statistical Analysis</w:t>
      </w:r>
      <w:r w:rsidRPr="00CC5FBA">
        <w:rPr>
          <w:rFonts w:ascii="Times New Roman" w:eastAsia="Times New Roman" w:hAnsi="Times New Roman" w:cs="Times New Roman"/>
          <w:bCs/>
          <w:sz w:val="24"/>
          <w:szCs w:val="24"/>
          <w:lang w:val="en-IN"/>
        </w:rPr>
        <w:t>: Specifying statistical methods for data evaluation including calculation of mean values, standard deviations, and ranges; generation of control charts; calculation of process capability indices; and trending analysis methods (Rathore et al., 2022).</w:t>
      </w:r>
    </w:p>
    <w:p w14:paraId="1E86E6B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PPQ Execution</w:t>
      </w:r>
      <w:r w:rsidRPr="00CC5FBA">
        <w:rPr>
          <w:rFonts w:ascii="Times New Roman" w:eastAsia="Times New Roman" w:hAnsi="Times New Roman" w:cs="Times New Roman"/>
          <w:bCs/>
          <w:sz w:val="24"/>
          <w:szCs w:val="24"/>
          <w:lang w:val="en-IN"/>
        </w:rPr>
        <w:t xml:space="preserve"> involves manufacturing of multiple consecutive commercial-scale batches (typically three minimum, though some companies perform more extensive campaigns) under full commercial manufacturing conditions with enhanced monitoring and documentation (Walsh, 2018). My role during PPQ execution included:</w:t>
      </w:r>
    </w:p>
    <w:p w14:paraId="384E846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Pre-Batch Verification</w:t>
      </w:r>
      <w:r w:rsidRPr="00CC5FBA">
        <w:rPr>
          <w:rFonts w:ascii="Times New Roman" w:eastAsia="Times New Roman" w:hAnsi="Times New Roman" w:cs="Times New Roman"/>
          <w:bCs/>
          <w:sz w:val="24"/>
          <w:szCs w:val="24"/>
          <w:lang w:val="en-IN"/>
        </w:rPr>
        <w:t>: Confirming equipment qualification status, verifying raw material qualifications and specifications, checking that all required procedures and batch records are approved and current, and ensuring all personnel are appropriately trained (Wurm &amp; Hacker, 2011).</w:t>
      </w:r>
    </w:p>
    <w:p w14:paraId="373A2F8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Enhanced Sampling</w:t>
      </w:r>
      <w:r w:rsidRPr="00CC5FBA">
        <w:rPr>
          <w:rFonts w:ascii="Times New Roman" w:eastAsia="Times New Roman" w:hAnsi="Times New Roman" w:cs="Times New Roman"/>
          <w:bCs/>
          <w:sz w:val="24"/>
          <w:szCs w:val="24"/>
          <w:lang w:val="en-IN"/>
        </w:rPr>
        <w:t>: Collecting additional samples beyond routine manufacturing requirements, including more frequent time-point samples during bioreactor culture, additional samples at various purification steps for process understanding, and retention samples for potential future analysis (Huang et al., 2012).</w:t>
      </w:r>
    </w:p>
    <w:p w14:paraId="4E3ED65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Real-Time Monitoring</w:t>
      </w:r>
      <w:r w:rsidRPr="00CC5FBA">
        <w:rPr>
          <w:rFonts w:ascii="Times New Roman" w:eastAsia="Times New Roman" w:hAnsi="Times New Roman" w:cs="Times New Roman"/>
          <w:bCs/>
          <w:sz w:val="24"/>
          <w:szCs w:val="24"/>
          <w:lang w:val="en-IN"/>
        </w:rPr>
        <w:t>: Closely tracking process parameters throughout manufacturing campaigns, immediately identifying and documenting any deviations or anomalies, ensuring immediate containment and investigation of issues, and maintaining communication with all stakeholders about process status (Cereghino &amp; Cregg, 2000).</w:t>
      </w:r>
    </w:p>
    <w:p w14:paraId="5BB0ADB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Documentation</w:t>
      </w:r>
      <w:r w:rsidRPr="00CC5FBA">
        <w:rPr>
          <w:rFonts w:ascii="Times New Roman" w:eastAsia="Times New Roman" w:hAnsi="Times New Roman" w:cs="Times New Roman"/>
          <w:bCs/>
          <w:sz w:val="24"/>
          <w:szCs w:val="24"/>
          <w:lang w:val="en-IN"/>
        </w:rPr>
        <w:t>: Ensuring all activities are thoroughly documented in batch records, recording all observations contemporaneously, documenting any deviations with immediate investigation initiation, and maintaining organized sample tracking and testing records (Stanbury et al., 2017).</w:t>
      </w:r>
    </w:p>
    <w:p w14:paraId="2404A8C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Data Analysis and Statistical Evaluation</w:t>
      </w:r>
      <w:r w:rsidRPr="00CC5FBA">
        <w:rPr>
          <w:rFonts w:ascii="Times New Roman" w:eastAsia="Times New Roman" w:hAnsi="Times New Roman" w:cs="Times New Roman"/>
          <w:bCs/>
          <w:sz w:val="24"/>
          <w:szCs w:val="24"/>
          <w:lang w:val="en-IN"/>
        </w:rPr>
        <w:t xml:space="preserve"> transforms collected PPQ data into evidence demonstrating process validation (Valgepea et al., 2017). My data analysis activities included:</w:t>
      </w:r>
    </w:p>
    <w:p w14:paraId="61CBEB0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Compilation of Data Tables</w:t>
      </w:r>
      <w:r w:rsidRPr="00CC5FBA">
        <w:rPr>
          <w:rFonts w:ascii="Times New Roman" w:eastAsia="Times New Roman" w:hAnsi="Times New Roman" w:cs="Times New Roman"/>
          <w:bCs/>
          <w:sz w:val="24"/>
          <w:szCs w:val="24"/>
          <w:lang w:val="en-IN"/>
        </w:rPr>
        <w:t>: Organizing all process parameter data, in-process testing results, and final product quality testing results into comprehensive tables facilitating analysis and comparison across batches (Doran, 2013).</w:t>
      </w:r>
    </w:p>
    <w:p w14:paraId="67054F3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Generation of Trend Charts</w:t>
      </w:r>
      <w:r w:rsidRPr="00CC5FBA">
        <w:rPr>
          <w:rFonts w:ascii="Times New Roman" w:eastAsia="Times New Roman" w:hAnsi="Times New Roman" w:cs="Times New Roman"/>
          <w:bCs/>
          <w:sz w:val="24"/>
          <w:szCs w:val="24"/>
          <w:lang w:val="en-IN"/>
        </w:rPr>
        <w:t>: Creating graphs displaying process parameters over time within and across batches, enabling visualization of process consistency and identification of any concerning trends (Shuler &amp; Kargi, 2017).</w:t>
      </w:r>
    </w:p>
    <w:p w14:paraId="51BD476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Calculation of Statistical Parameters</w:t>
      </w:r>
      <w:r w:rsidRPr="00CC5FBA">
        <w:rPr>
          <w:rFonts w:ascii="Times New Roman" w:eastAsia="Times New Roman" w:hAnsi="Times New Roman" w:cs="Times New Roman"/>
          <w:bCs/>
          <w:sz w:val="24"/>
          <w:szCs w:val="24"/>
          <w:lang w:val="en-IN"/>
        </w:rPr>
        <w:t>: Computing mean values, standard deviations, ranges, and coefficients of variation for critical process parameters and quality attributes across PPQ batches (Sarkar et al., 2016).</w:t>
      </w:r>
    </w:p>
    <w:p w14:paraId="6569F4E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Process Capability Analysis</w:t>
      </w:r>
      <w:r w:rsidRPr="00CC5FBA">
        <w:rPr>
          <w:rFonts w:ascii="Times New Roman" w:eastAsia="Times New Roman" w:hAnsi="Times New Roman" w:cs="Times New Roman"/>
          <w:bCs/>
          <w:sz w:val="24"/>
          <w:szCs w:val="24"/>
          <w:lang w:val="en-IN"/>
        </w:rPr>
        <w:t xml:space="preserve">: Calculating Cp and </w:t>
      </w:r>
      <w:proofErr w:type="spellStart"/>
      <w:r w:rsidRPr="00CC5FBA">
        <w:rPr>
          <w:rFonts w:ascii="Times New Roman" w:eastAsia="Times New Roman" w:hAnsi="Times New Roman" w:cs="Times New Roman"/>
          <w:bCs/>
          <w:sz w:val="24"/>
          <w:szCs w:val="24"/>
          <w:lang w:val="en-IN"/>
        </w:rPr>
        <w:t>Cpk</w:t>
      </w:r>
      <w:proofErr w:type="spellEnd"/>
      <w:r w:rsidRPr="00CC5FBA">
        <w:rPr>
          <w:rFonts w:ascii="Times New Roman" w:eastAsia="Times New Roman" w:hAnsi="Times New Roman" w:cs="Times New Roman"/>
          <w:bCs/>
          <w:sz w:val="24"/>
          <w:szCs w:val="24"/>
          <w:lang w:val="en-IN"/>
        </w:rPr>
        <w:t xml:space="preserve"> values quantifying relationship between process variability and specification limits, with Cp representing inherent process capability and </w:t>
      </w:r>
      <w:proofErr w:type="spellStart"/>
      <w:r w:rsidRPr="00CC5FBA">
        <w:rPr>
          <w:rFonts w:ascii="Times New Roman" w:eastAsia="Times New Roman" w:hAnsi="Times New Roman" w:cs="Times New Roman"/>
          <w:bCs/>
          <w:sz w:val="24"/>
          <w:szCs w:val="24"/>
          <w:lang w:val="en-IN"/>
        </w:rPr>
        <w:t>Cpk</w:t>
      </w:r>
      <w:proofErr w:type="spellEnd"/>
      <w:r w:rsidRPr="00CC5FBA">
        <w:rPr>
          <w:rFonts w:ascii="Times New Roman" w:eastAsia="Times New Roman" w:hAnsi="Times New Roman" w:cs="Times New Roman"/>
          <w:bCs/>
          <w:sz w:val="24"/>
          <w:szCs w:val="24"/>
          <w:lang w:val="en-IN"/>
        </w:rPr>
        <w:t xml:space="preserve"> accounting for process </w:t>
      </w:r>
      <w:proofErr w:type="spellStart"/>
      <w:r w:rsidRPr="00CC5FBA">
        <w:rPr>
          <w:rFonts w:ascii="Times New Roman" w:eastAsia="Times New Roman" w:hAnsi="Times New Roman" w:cs="Times New Roman"/>
          <w:bCs/>
          <w:sz w:val="24"/>
          <w:szCs w:val="24"/>
          <w:lang w:val="en-IN"/>
        </w:rPr>
        <w:t>centering</w:t>
      </w:r>
      <w:proofErr w:type="spellEnd"/>
      <w:r w:rsidRPr="00CC5FBA">
        <w:rPr>
          <w:rFonts w:ascii="Times New Roman" w:eastAsia="Times New Roman" w:hAnsi="Times New Roman" w:cs="Times New Roman"/>
          <w:bCs/>
          <w:sz w:val="24"/>
          <w:szCs w:val="24"/>
          <w:lang w:val="en-IN"/>
        </w:rPr>
        <w:t xml:space="preserve"> relative to specification limits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Values of 1.33 or greater generally considered acceptable, indicating the process mean is well-</w:t>
      </w:r>
      <w:proofErr w:type="spellStart"/>
      <w:r w:rsidRPr="00CC5FBA">
        <w:rPr>
          <w:rFonts w:ascii="Times New Roman" w:eastAsia="Times New Roman" w:hAnsi="Times New Roman" w:cs="Times New Roman"/>
          <w:bCs/>
          <w:sz w:val="24"/>
          <w:szCs w:val="24"/>
          <w:lang w:val="en-IN"/>
        </w:rPr>
        <w:t>centered</w:t>
      </w:r>
      <w:proofErr w:type="spellEnd"/>
      <w:r w:rsidRPr="00CC5FBA">
        <w:rPr>
          <w:rFonts w:ascii="Times New Roman" w:eastAsia="Times New Roman" w:hAnsi="Times New Roman" w:cs="Times New Roman"/>
          <w:bCs/>
          <w:sz w:val="24"/>
          <w:szCs w:val="24"/>
          <w:lang w:val="en-IN"/>
        </w:rPr>
        <w:t xml:space="preserve"> and variability is sufficiently small that virtually all production will meet specifications.</w:t>
      </w:r>
    </w:p>
    <w:p w14:paraId="2CE4B5E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Control Chart Generation</w:t>
      </w:r>
      <w:r w:rsidRPr="00CC5FBA">
        <w:rPr>
          <w:rFonts w:ascii="Times New Roman" w:eastAsia="Times New Roman" w:hAnsi="Times New Roman" w:cs="Times New Roman"/>
          <w:bCs/>
          <w:sz w:val="24"/>
          <w:szCs w:val="24"/>
          <w:lang w:val="en-IN"/>
        </w:rPr>
        <w:t xml:space="preserve">: Creating statistical process control charts including X-bar (mean) and R (range) charts, individual-moving range charts, or other control chart types appropriate for data characteristics (Schenk et al., 2015). Control charts distinguish between common </w:t>
      </w:r>
      <w:r w:rsidRPr="00CC5FBA">
        <w:rPr>
          <w:rFonts w:ascii="Times New Roman" w:eastAsia="Times New Roman" w:hAnsi="Times New Roman" w:cs="Times New Roman"/>
          <w:bCs/>
          <w:sz w:val="24"/>
          <w:szCs w:val="24"/>
          <w:lang w:val="en-IN"/>
        </w:rPr>
        <w:lastRenderedPageBreak/>
        <w:t>cause variation (inherent process variability) and special cause variation (assignable causes requiring investigation).</w:t>
      </w:r>
    </w:p>
    <w:p w14:paraId="5D2442E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PPQ Report Preparation</w:t>
      </w:r>
      <w:r w:rsidRPr="00CC5FBA">
        <w:rPr>
          <w:rFonts w:ascii="Times New Roman" w:eastAsia="Times New Roman" w:hAnsi="Times New Roman" w:cs="Times New Roman"/>
          <w:bCs/>
          <w:sz w:val="24"/>
          <w:szCs w:val="24"/>
          <w:lang w:val="en-IN"/>
        </w:rPr>
        <w:t xml:space="preserve"> documents validation evidence and conclusions, serving as primary validation document reviewed during regulatory inspections (Li et al., 2019). I contributed significantly to PPQ report preparation including:</w:t>
      </w:r>
    </w:p>
    <w:p w14:paraId="532770C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Executive Summary</w:t>
      </w:r>
      <w:r w:rsidRPr="00CC5FBA">
        <w:rPr>
          <w:rFonts w:ascii="Times New Roman" w:eastAsia="Times New Roman" w:hAnsi="Times New Roman" w:cs="Times New Roman"/>
          <w:bCs/>
          <w:sz w:val="24"/>
          <w:szCs w:val="24"/>
          <w:lang w:val="en-IN"/>
        </w:rPr>
        <w:t>: Providing high-level overview of validation study including product description, process description, study objectives, number of batches manufactured, and overall conclusions regarding successful validation (Zhang et al., 2020).</w:t>
      </w:r>
    </w:p>
    <w:p w14:paraId="2B1E92D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Process Description</w:t>
      </w:r>
      <w:r w:rsidRPr="00CC5FBA">
        <w:rPr>
          <w:rFonts w:ascii="Times New Roman" w:eastAsia="Times New Roman" w:hAnsi="Times New Roman" w:cs="Times New Roman"/>
          <w:bCs/>
          <w:sz w:val="24"/>
          <w:szCs w:val="24"/>
          <w:lang w:val="en-IN"/>
        </w:rPr>
        <w:t>: Detailed description of manufacturing process including all unit operations, equipment used, process parameters and their target ranges, and control strategy employed (Buchholz et al., 2021).</w:t>
      </w:r>
    </w:p>
    <w:p w14:paraId="4EF3B79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Results Section</w:t>
      </w:r>
      <w:r w:rsidRPr="00CC5FBA">
        <w:rPr>
          <w:rFonts w:ascii="Times New Roman" w:eastAsia="Times New Roman" w:hAnsi="Times New Roman" w:cs="Times New Roman"/>
          <w:bCs/>
          <w:sz w:val="24"/>
          <w:szCs w:val="24"/>
          <w:lang w:val="en-IN"/>
        </w:rPr>
        <w:t>: Comprehensive presentation of all data collected during PPQ including data tables, trend charts, statistical analysis results, and process capability calculations (Lara et al., 2019).</w:t>
      </w:r>
    </w:p>
    <w:p w14:paraId="76D7F1C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Deviation Summary</w:t>
      </w:r>
      <w:r w:rsidRPr="00CC5FBA">
        <w:rPr>
          <w:rFonts w:ascii="Times New Roman" w:eastAsia="Times New Roman" w:hAnsi="Times New Roman" w:cs="Times New Roman"/>
          <w:bCs/>
          <w:sz w:val="24"/>
          <w:szCs w:val="24"/>
          <w:lang w:val="en-IN"/>
        </w:rPr>
        <w:t>: Documentation of any deviations occurring during PPQ batches including descriptions, investigations, impact assessments, and corrective actions implemented (Rathore et al., 2022).</w:t>
      </w:r>
    </w:p>
    <w:p w14:paraId="55624C4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Conclusions</w:t>
      </w:r>
      <w:r w:rsidRPr="00CC5FBA">
        <w:rPr>
          <w:rFonts w:ascii="Times New Roman" w:eastAsia="Times New Roman" w:hAnsi="Times New Roman" w:cs="Times New Roman"/>
          <w:bCs/>
          <w:sz w:val="24"/>
          <w:szCs w:val="24"/>
          <w:lang w:val="en-IN"/>
        </w:rPr>
        <w:t>: Clear statements regarding whether acceptance criteria were met, whether process demonstrated capability and reproducibility, and whether process is validated for commercial manufacturing (Walsh, 2018).</w:t>
      </w:r>
    </w:p>
    <w:p w14:paraId="371557F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Appendices</w:t>
      </w:r>
      <w:r w:rsidRPr="00CC5FBA">
        <w:rPr>
          <w:rFonts w:ascii="Times New Roman" w:eastAsia="Times New Roman" w:hAnsi="Times New Roman" w:cs="Times New Roman"/>
          <w:bCs/>
          <w:sz w:val="24"/>
          <w:szCs w:val="24"/>
          <w:lang w:val="en-IN"/>
        </w:rPr>
        <w:t>: Supporting documentation including raw data, analytical test results, equipment qualification records, training records, and other relevant documentation (Konstantinov &amp; Cooney, 2015).</w:t>
      </w:r>
    </w:p>
    <w:p w14:paraId="48DCC1ED"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5.3 Continued Process Verification (CPV)</w:t>
      </w:r>
    </w:p>
    <w:p w14:paraId="58086C1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Continued Process Verification represents the ongoing program maintaining validated status throughout commercial manufacturing lifecycle (Wurm &amp; Hacker, 2011). CPV acknowledges that validation is not a discrete event but rather continuous state requiring ongoing vigilance and periodic evaluation.</w:t>
      </w:r>
    </w:p>
    <w:p w14:paraId="5627F47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Routine Process Monitoring</w:t>
      </w:r>
      <w:r w:rsidRPr="00CC5FBA">
        <w:rPr>
          <w:rFonts w:ascii="Times New Roman" w:eastAsia="Times New Roman" w:hAnsi="Times New Roman" w:cs="Times New Roman"/>
          <w:bCs/>
          <w:sz w:val="24"/>
          <w:szCs w:val="24"/>
          <w:lang w:val="en-IN"/>
        </w:rPr>
        <w:t xml:space="preserve"> collects data from every commercial batch enabling detection of trends or shifts in process performance (Huang et al., 2012). During my internship, I participated in various CPV monitoring activities:</w:t>
      </w:r>
    </w:p>
    <w:p w14:paraId="55DA5CF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Data Collection</w:t>
      </w:r>
      <w:r w:rsidRPr="00CC5FBA">
        <w:rPr>
          <w:rFonts w:ascii="Times New Roman" w:eastAsia="Times New Roman" w:hAnsi="Times New Roman" w:cs="Times New Roman"/>
          <w:bCs/>
          <w:sz w:val="24"/>
          <w:szCs w:val="24"/>
          <w:lang w:val="en-IN"/>
        </w:rPr>
        <w:t>: Extracting relevant data from batch records including critical process parameter values, in-process testing results, environmental monitoring data, and final product quality test results (Cereghino &amp; Cregg, 2000).</w:t>
      </w:r>
    </w:p>
    <w:p w14:paraId="352D1A2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Database Management</w:t>
      </w:r>
      <w:r w:rsidRPr="00CC5FBA">
        <w:rPr>
          <w:rFonts w:ascii="Times New Roman" w:eastAsia="Times New Roman" w:hAnsi="Times New Roman" w:cs="Times New Roman"/>
          <w:bCs/>
          <w:sz w:val="24"/>
          <w:szCs w:val="24"/>
          <w:lang w:val="en-IN"/>
        </w:rPr>
        <w:t>: Entering collected data into electronic databases or data management systems enabling analysis and trending (Stanbury et al., 2017).</w:t>
      </w:r>
    </w:p>
    <w:p w14:paraId="1E50A99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Routine Trending</w:t>
      </w:r>
      <w:r w:rsidRPr="00CC5FBA">
        <w:rPr>
          <w:rFonts w:ascii="Times New Roman" w:eastAsia="Times New Roman" w:hAnsi="Times New Roman" w:cs="Times New Roman"/>
          <w:bCs/>
          <w:sz w:val="24"/>
          <w:szCs w:val="24"/>
          <w:lang w:val="en-IN"/>
        </w:rPr>
        <w:t>: Generating monthly or quarterly trend charts for critical process parameters and quality attributes, identifying any concerning trends such as gradual drifts or sudden shifts (Valgepea et al., 2017).</w:t>
      </w:r>
    </w:p>
    <w:p w14:paraId="178645B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Statistical Process Control</w:t>
      </w:r>
      <w:r w:rsidRPr="00CC5FBA">
        <w:rPr>
          <w:rFonts w:ascii="Times New Roman" w:eastAsia="Times New Roman" w:hAnsi="Times New Roman" w:cs="Times New Roman"/>
          <w:bCs/>
          <w:sz w:val="24"/>
          <w:szCs w:val="24"/>
          <w:lang w:val="en-IN"/>
        </w:rPr>
        <w:t xml:space="preserve"> applies statistical methods to distinguish normal process variation from abnormal variation indicating potential issues requiring investigation (Doran, 2013). I gained practical experience with various SPC tools:</w:t>
      </w:r>
    </w:p>
    <w:p w14:paraId="152D6B1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Control Charts</w:t>
      </w:r>
      <w:r w:rsidRPr="00CC5FBA">
        <w:rPr>
          <w:rFonts w:ascii="Times New Roman" w:eastAsia="Times New Roman" w:hAnsi="Times New Roman" w:cs="Times New Roman"/>
          <w:bCs/>
          <w:sz w:val="24"/>
          <w:szCs w:val="24"/>
          <w:lang w:val="en-IN"/>
        </w:rPr>
        <w:t>: Maintaining and updating control charts with each new batch, identifying out-of-control points or trends suggesting process changes (Shuler &amp; Kargi, 2017). Western Electric rules or other statistical rules help identify potentially significant patterns even when individual points remain within control limits.</w:t>
      </w:r>
    </w:p>
    <w:p w14:paraId="0A72945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Process Capability Monitoring</w:t>
      </w:r>
      <w:r w:rsidRPr="00CC5FBA">
        <w:rPr>
          <w:rFonts w:ascii="Times New Roman" w:eastAsia="Times New Roman" w:hAnsi="Times New Roman" w:cs="Times New Roman"/>
          <w:bCs/>
          <w:sz w:val="24"/>
          <w:szCs w:val="24"/>
          <w:lang w:val="en-IN"/>
        </w:rPr>
        <w:t>: Periodically recalculating process capability indices using rolling windows of recent batches, detecting deterioration in process capability that might indicate need for corrective action (Sarkar et al., 2016).</w:t>
      </w:r>
    </w:p>
    <w:p w14:paraId="68B0D96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Trend Analysis</w:t>
      </w:r>
      <w:r w:rsidRPr="00CC5FBA">
        <w:rPr>
          <w:rFonts w:ascii="Times New Roman" w:eastAsia="Times New Roman" w:hAnsi="Times New Roman" w:cs="Times New Roman"/>
          <w:bCs/>
          <w:sz w:val="24"/>
          <w:szCs w:val="24"/>
          <w:lang w:val="en-IN"/>
        </w:rPr>
        <w:t>: Applying statistical methods to detect trends including regression analysis quantifying whether parameters are systematically increasing or decreasing over time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6390B5B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Periodic Review and Assessment</w:t>
      </w:r>
      <w:r w:rsidRPr="00CC5FBA">
        <w:rPr>
          <w:rFonts w:ascii="Times New Roman" w:eastAsia="Times New Roman" w:hAnsi="Times New Roman" w:cs="Times New Roman"/>
          <w:bCs/>
          <w:sz w:val="24"/>
          <w:szCs w:val="24"/>
          <w:lang w:val="en-IN"/>
        </w:rPr>
        <w:t xml:space="preserve"> </w:t>
      </w:r>
      <w:proofErr w:type="gramStart"/>
      <w:r w:rsidRPr="00CC5FBA">
        <w:rPr>
          <w:rFonts w:ascii="Times New Roman" w:eastAsia="Times New Roman" w:hAnsi="Times New Roman" w:cs="Times New Roman"/>
          <w:bCs/>
          <w:sz w:val="24"/>
          <w:szCs w:val="24"/>
          <w:lang w:val="en-IN"/>
        </w:rPr>
        <w:t>involves</w:t>
      </w:r>
      <w:proofErr w:type="gramEnd"/>
      <w:r w:rsidRPr="00CC5FBA">
        <w:rPr>
          <w:rFonts w:ascii="Times New Roman" w:eastAsia="Times New Roman" w:hAnsi="Times New Roman" w:cs="Times New Roman"/>
          <w:bCs/>
          <w:sz w:val="24"/>
          <w:szCs w:val="24"/>
          <w:lang w:val="en-IN"/>
        </w:rPr>
        <w:t xml:space="preserve"> comprehensive evaluation of process performance data at defined intervals, typically quarterly or annually (Schenk et al., 2015). Annual Product Reviews represent particularly comprehensive assessments evaluating all aspects of manufacturing and quality performance over preceding year. During my participation in periodic reviews, activities included:</w:t>
      </w:r>
    </w:p>
    <w:p w14:paraId="4198B00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Data Aggregation</w:t>
      </w:r>
      <w:r w:rsidRPr="00CC5FBA">
        <w:rPr>
          <w:rFonts w:ascii="Times New Roman" w:eastAsia="Times New Roman" w:hAnsi="Times New Roman" w:cs="Times New Roman"/>
          <w:bCs/>
          <w:sz w:val="24"/>
          <w:szCs w:val="24"/>
          <w:lang w:val="en-IN"/>
        </w:rPr>
        <w:t>: Compiling all relevant data from the review period including batch manufacturing data, quality control test results, deviation and OOS summaries, change control summaries, and validation status (Li et al., 2019).</w:t>
      </w:r>
    </w:p>
    <w:p w14:paraId="19A7033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Performance Evaluation</w:t>
      </w:r>
      <w:r w:rsidRPr="00CC5FBA">
        <w:rPr>
          <w:rFonts w:ascii="Times New Roman" w:eastAsia="Times New Roman" w:hAnsi="Times New Roman" w:cs="Times New Roman"/>
          <w:bCs/>
          <w:sz w:val="24"/>
          <w:szCs w:val="24"/>
          <w:lang w:val="en-IN"/>
        </w:rPr>
        <w:t>: Assessing whether process performance remained consistent throughout period, identifying any deteriorating trends, evaluating adequacy of specifications and control limits, and reviewing effectiveness of control strategies (Zhang et al., 2020).</w:t>
      </w:r>
    </w:p>
    <w:p w14:paraId="3733580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Deviation and OOS Analysis</w:t>
      </w:r>
      <w:r w:rsidRPr="00CC5FBA">
        <w:rPr>
          <w:rFonts w:ascii="Times New Roman" w:eastAsia="Times New Roman" w:hAnsi="Times New Roman" w:cs="Times New Roman"/>
          <w:bCs/>
          <w:sz w:val="24"/>
          <w:szCs w:val="24"/>
          <w:lang w:val="en-IN"/>
        </w:rPr>
        <w:t>: Reviewing all deviations and OOS results occurring during period, identifying recurring issues or patterns, assessing effectiveness of CAPAs implemented, and identifying opportunities for further improvement (Buchholz et al., 2021).</w:t>
      </w:r>
    </w:p>
    <w:p w14:paraId="47C4F8D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Change Impact Assessment</w:t>
      </w:r>
      <w:r w:rsidRPr="00CC5FBA">
        <w:rPr>
          <w:rFonts w:ascii="Times New Roman" w:eastAsia="Times New Roman" w:hAnsi="Times New Roman" w:cs="Times New Roman"/>
          <w:bCs/>
          <w:sz w:val="24"/>
          <w:szCs w:val="24"/>
          <w:lang w:val="en-IN"/>
        </w:rPr>
        <w:t>: Evaluating effects of any changes implemented during review period including raw material changes, equipment modifications, procedure updates, or personnel changes (Lara et al., 2019).</w:t>
      </w:r>
    </w:p>
    <w:p w14:paraId="6A8AD99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Recommendations</w:t>
      </w:r>
      <w:r w:rsidRPr="00CC5FBA">
        <w:rPr>
          <w:rFonts w:ascii="Times New Roman" w:eastAsia="Times New Roman" w:hAnsi="Times New Roman" w:cs="Times New Roman"/>
          <w:bCs/>
          <w:sz w:val="24"/>
          <w:szCs w:val="24"/>
          <w:lang w:val="en-IN"/>
        </w:rPr>
        <w:t>: Developing action plans addressing identified issues, opportunities for process optimization, needed procedure or specification updates, or additional validation activities required (Rathore et al., 2022).</w:t>
      </w:r>
    </w:p>
    <w:p w14:paraId="6BCB853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Validation Maintenance</w:t>
      </w:r>
      <w:r w:rsidRPr="00CC5FBA">
        <w:rPr>
          <w:rFonts w:ascii="Times New Roman" w:eastAsia="Times New Roman" w:hAnsi="Times New Roman" w:cs="Times New Roman"/>
          <w:bCs/>
          <w:sz w:val="24"/>
          <w:szCs w:val="24"/>
          <w:lang w:val="en-IN"/>
        </w:rPr>
        <w:t xml:space="preserve"> ensures that validated state is maintained throughout product lifecycle despite changes in materials, equipment, facilities, or procedures (Walsh, 2018). My involvement in validation maintenance included:</w:t>
      </w:r>
    </w:p>
    <w:p w14:paraId="79C2BB1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Change Control Review</w:t>
      </w:r>
      <w:r w:rsidRPr="00CC5FBA">
        <w:rPr>
          <w:rFonts w:ascii="Times New Roman" w:eastAsia="Times New Roman" w:hAnsi="Times New Roman" w:cs="Times New Roman"/>
          <w:bCs/>
          <w:sz w:val="24"/>
          <w:szCs w:val="24"/>
          <w:lang w:val="en-IN"/>
        </w:rPr>
        <w:t>: Evaluating proposed changes for potential validation impact, determining whether revalidation or validation studies are required, and developing appropriate validation strategies for changes requiring validation support (Konstantinov &amp; Cooney, 2015).</w:t>
      </w:r>
    </w:p>
    <w:p w14:paraId="3E90440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Periodic Requalification</w:t>
      </w:r>
      <w:r w:rsidRPr="00CC5FBA">
        <w:rPr>
          <w:rFonts w:ascii="Times New Roman" w:eastAsia="Times New Roman" w:hAnsi="Times New Roman" w:cs="Times New Roman"/>
          <w:bCs/>
          <w:sz w:val="24"/>
          <w:szCs w:val="24"/>
          <w:lang w:val="en-IN"/>
        </w:rPr>
        <w:t>: Supporting periodic equipment requalification activities ensuring continued qualification status, typically performed annually or at defined intervals (Wurm &amp; Hacker, 2011).</w:t>
      </w:r>
    </w:p>
    <w:p w14:paraId="3F8EEFA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Validation Document Updates</w:t>
      </w:r>
      <w:r w:rsidRPr="00CC5FBA">
        <w:rPr>
          <w:rFonts w:ascii="Times New Roman" w:eastAsia="Times New Roman" w:hAnsi="Times New Roman" w:cs="Times New Roman"/>
          <w:bCs/>
          <w:sz w:val="24"/>
          <w:szCs w:val="24"/>
          <w:lang w:val="en-IN"/>
        </w:rPr>
        <w:t>: Maintaining validation documentation currency including updating validation master plans, revising validation protocols reflecting process changes, and amending validation reports to document additional validation studies (Huang et al., 2012).</w:t>
      </w:r>
    </w:p>
    <w:p w14:paraId="698CA019"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5.4 Critical Process Parameters and Quality Attributes</w:t>
      </w:r>
    </w:p>
    <w:p w14:paraId="52E6D56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Understanding relationships between Critical Process Parameters and Critical Quality Attributes represents fundamental aspect of process understanding and control (Cereghino &amp; Cregg, 2000). My internship provided numerous opportunities to observe and </w:t>
      </w:r>
      <w:proofErr w:type="spellStart"/>
      <w:r w:rsidRPr="00CC5FBA">
        <w:rPr>
          <w:rFonts w:ascii="Times New Roman" w:eastAsia="Times New Roman" w:hAnsi="Times New Roman" w:cs="Times New Roman"/>
          <w:bCs/>
          <w:sz w:val="24"/>
          <w:szCs w:val="24"/>
          <w:lang w:val="en-IN"/>
        </w:rPr>
        <w:t>analyze</w:t>
      </w:r>
      <w:proofErr w:type="spellEnd"/>
      <w:r w:rsidRPr="00CC5FBA">
        <w:rPr>
          <w:rFonts w:ascii="Times New Roman" w:eastAsia="Times New Roman" w:hAnsi="Times New Roman" w:cs="Times New Roman"/>
          <w:bCs/>
          <w:sz w:val="24"/>
          <w:szCs w:val="24"/>
          <w:lang w:val="en-IN"/>
        </w:rPr>
        <w:t xml:space="preserve"> these relationships across different unit operations and product platforms.</w:t>
      </w:r>
    </w:p>
    <w:p w14:paraId="7C95564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Upstream Process Parameters</w:t>
      </w:r>
      <w:r w:rsidRPr="00CC5FBA">
        <w:rPr>
          <w:rFonts w:ascii="Times New Roman" w:eastAsia="Times New Roman" w:hAnsi="Times New Roman" w:cs="Times New Roman"/>
          <w:bCs/>
          <w:sz w:val="24"/>
          <w:szCs w:val="24"/>
          <w:lang w:val="en-IN"/>
        </w:rPr>
        <w:t xml:space="preserve"> critically affecting product quality include:</w:t>
      </w:r>
    </w:p>
    <w:p w14:paraId="081B28A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Culture Temperature</w:t>
      </w:r>
      <w:r w:rsidRPr="00CC5FBA">
        <w:rPr>
          <w:rFonts w:ascii="Times New Roman" w:eastAsia="Times New Roman" w:hAnsi="Times New Roman" w:cs="Times New Roman"/>
          <w:bCs/>
          <w:sz w:val="24"/>
          <w:szCs w:val="24"/>
          <w:lang w:val="en-IN"/>
        </w:rPr>
        <w:t>: Temperature affects cell metabolism, growth rates, protein production rates, and product quality attributes (Stanbury et al., 2017). I observed investigations of temperature excursions and their impacts on cell viability, productivity, and glycosylation patterns.</w:t>
      </w:r>
    </w:p>
    <w:p w14:paraId="14F2455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pH Control</w:t>
      </w:r>
      <w:r w:rsidRPr="00CC5FBA">
        <w:rPr>
          <w:rFonts w:ascii="Times New Roman" w:eastAsia="Times New Roman" w:hAnsi="Times New Roman" w:cs="Times New Roman"/>
          <w:bCs/>
          <w:sz w:val="24"/>
          <w:szCs w:val="24"/>
          <w:lang w:val="en-IN"/>
        </w:rPr>
        <w:t>: Culture pH influences metabolic pathway selection, enzyme activities, protein stability, and accumulation of inhibitory metabolites (Valgepea et al., 2017). Tight pH control within narrow ranges (typically ±0.1 pH units) ensures consistent cell physiology and product quality.</w:t>
      </w:r>
    </w:p>
    <w:p w14:paraId="2D5ACB7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Dissolved Oxygen</w:t>
      </w:r>
      <w:r w:rsidRPr="00CC5FBA">
        <w:rPr>
          <w:rFonts w:ascii="Times New Roman" w:eastAsia="Times New Roman" w:hAnsi="Times New Roman" w:cs="Times New Roman"/>
          <w:bCs/>
          <w:sz w:val="24"/>
          <w:szCs w:val="24"/>
          <w:lang w:val="en-IN"/>
        </w:rPr>
        <w:t>: Oxygen availability affects cell viability, growth rates, metabolic flux distributions, and lactate production (Doran, 2013). Maintaining DO above critical values (typically 30-40% saturation) ensures adequate respiratory capacity while avoiding oxygen limitation.</w:t>
      </w:r>
    </w:p>
    <w:p w14:paraId="0F3C31D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Feeding Strategy</w:t>
      </w:r>
      <w:r w:rsidRPr="00CC5FBA">
        <w:rPr>
          <w:rFonts w:ascii="Times New Roman" w:eastAsia="Times New Roman" w:hAnsi="Times New Roman" w:cs="Times New Roman"/>
          <w:bCs/>
          <w:sz w:val="24"/>
          <w:szCs w:val="24"/>
          <w:lang w:val="en-IN"/>
        </w:rPr>
        <w:t>: Nutrient feeding rates and compositions dramatically impact cell density, viability, productivity, and product quality attributes including glycosylation (Shuler &amp; Kargi, 2017). Fed-batch strategies must balance growth support with avoiding osmolality increases and metabolic by-product accumulation.</w:t>
      </w:r>
    </w:p>
    <w:p w14:paraId="1350623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Downstream Process Parameters</w:t>
      </w:r>
      <w:r w:rsidRPr="00CC5FBA">
        <w:rPr>
          <w:rFonts w:ascii="Times New Roman" w:eastAsia="Times New Roman" w:hAnsi="Times New Roman" w:cs="Times New Roman"/>
          <w:bCs/>
          <w:sz w:val="24"/>
          <w:szCs w:val="24"/>
          <w:lang w:val="en-IN"/>
        </w:rPr>
        <w:t xml:space="preserve"> affecting product quality include:</w:t>
      </w:r>
    </w:p>
    <w:p w14:paraId="0DD3B2E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lastRenderedPageBreak/>
        <w:t>Column Loading Density</w:t>
      </w:r>
      <w:r w:rsidRPr="00CC5FBA">
        <w:rPr>
          <w:rFonts w:ascii="Times New Roman" w:eastAsia="Times New Roman" w:hAnsi="Times New Roman" w:cs="Times New Roman"/>
          <w:bCs/>
          <w:sz w:val="24"/>
          <w:szCs w:val="24"/>
          <w:lang w:val="en-IN"/>
        </w:rPr>
        <w:t>: Mass of protein loaded per volume of chromatography resin affects binding capacity utilization, breakthrough risk, and purification performance (Sarkar et al., 2016). Operating below resin capacity ensures complete binding and high yields.</w:t>
      </w:r>
    </w:p>
    <w:p w14:paraId="0D838EE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Wash and Elution Conditions</w:t>
      </w:r>
      <w:r w:rsidRPr="00CC5FBA">
        <w:rPr>
          <w:rFonts w:ascii="Times New Roman" w:eastAsia="Times New Roman" w:hAnsi="Times New Roman" w:cs="Times New Roman"/>
          <w:bCs/>
          <w:sz w:val="24"/>
          <w:szCs w:val="24"/>
          <w:lang w:val="en-IN"/>
        </w:rPr>
        <w:t>: Buffer compositions, pH values, salt concentrations, and elution gradient profiles critically determine separation between target protein and impurities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 Process development optimizes these parameters through systematic evaluation.</w:t>
      </w:r>
    </w:p>
    <w:p w14:paraId="0B0F04B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Hold Times and Temperatures</w:t>
      </w:r>
      <w:r w:rsidRPr="00CC5FBA">
        <w:rPr>
          <w:rFonts w:ascii="Times New Roman" w:eastAsia="Times New Roman" w:hAnsi="Times New Roman" w:cs="Times New Roman"/>
          <w:bCs/>
          <w:sz w:val="24"/>
          <w:szCs w:val="24"/>
          <w:lang w:val="en-IN"/>
        </w:rPr>
        <w:t>: Time and temperature conditions during intermediate holds between purification steps affect protein stability and potential degradation (Schenk et al., 2015). Validation studies establish maximum acceptable hold times ensuring product quality maintenance.</w:t>
      </w:r>
    </w:p>
    <w:p w14:paraId="5A34F2E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Viral Inactivation Conditions</w:t>
      </w:r>
      <w:r w:rsidRPr="00CC5FBA">
        <w:rPr>
          <w:rFonts w:ascii="Times New Roman" w:eastAsia="Times New Roman" w:hAnsi="Times New Roman" w:cs="Times New Roman"/>
          <w:bCs/>
          <w:sz w:val="24"/>
          <w:szCs w:val="24"/>
          <w:lang w:val="en-IN"/>
        </w:rPr>
        <w:t>: pH and duration of low pH viral inactivation steps must achieve required viral reduction while maintaining protein stability (Li et al., 2019). Orthogonal validation studies using model viruses demonstrate clearance capability.</w:t>
      </w:r>
    </w:p>
    <w:p w14:paraId="3C56EBD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Quality Attribute Monitoring</w:t>
      </w:r>
      <w:r w:rsidRPr="00CC5FBA">
        <w:rPr>
          <w:rFonts w:ascii="Times New Roman" w:eastAsia="Times New Roman" w:hAnsi="Times New Roman" w:cs="Times New Roman"/>
          <w:bCs/>
          <w:sz w:val="24"/>
          <w:szCs w:val="24"/>
          <w:lang w:val="en-IN"/>
        </w:rPr>
        <w:t xml:space="preserve"> ensures products consistently meet specifications (Zhang et al., 2020). Throughout my internship, I gained familiarity with testing methods for various quality attributes:</w:t>
      </w:r>
    </w:p>
    <w:p w14:paraId="6DA1ACB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Protein Concentration</w:t>
      </w:r>
      <w:r w:rsidRPr="00CC5FBA">
        <w:rPr>
          <w:rFonts w:ascii="Times New Roman" w:eastAsia="Times New Roman" w:hAnsi="Times New Roman" w:cs="Times New Roman"/>
          <w:bCs/>
          <w:sz w:val="24"/>
          <w:szCs w:val="24"/>
          <w:lang w:val="en-IN"/>
        </w:rPr>
        <w:t>: UV spectroscopy, Bradford assay, or other quantitative methods verify protein concentration meets target values (Buchholz et al., 2021).</w:t>
      </w:r>
    </w:p>
    <w:p w14:paraId="6E6B784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Purity</w:t>
      </w:r>
      <w:r w:rsidRPr="00CC5FBA">
        <w:rPr>
          <w:rFonts w:ascii="Times New Roman" w:eastAsia="Times New Roman" w:hAnsi="Times New Roman" w:cs="Times New Roman"/>
          <w:bCs/>
          <w:sz w:val="24"/>
          <w:szCs w:val="24"/>
          <w:lang w:val="en-IN"/>
        </w:rPr>
        <w:t>: Multiple orthogonal methods including SEC, SDS-PAGE, and capillary electrophoresis characterize purity and detect impurities (Lara et al., 2019).</w:t>
      </w:r>
    </w:p>
    <w:p w14:paraId="2BF29550"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Aggregation</w:t>
      </w:r>
      <w:r w:rsidRPr="00CC5FBA">
        <w:rPr>
          <w:rFonts w:ascii="Times New Roman" w:eastAsia="Times New Roman" w:hAnsi="Times New Roman" w:cs="Times New Roman"/>
          <w:bCs/>
          <w:sz w:val="24"/>
          <w:szCs w:val="24"/>
          <w:lang w:val="en-IN"/>
        </w:rPr>
        <w:t>: SEC quantifies monomer content and aggregate levels, critical quality attribute affecting safety and efficacy (Rathore et al., 2022).</w:t>
      </w:r>
    </w:p>
    <w:p w14:paraId="1456DD3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Charge Heterogeneity</w:t>
      </w:r>
      <w:r w:rsidRPr="00CC5FBA">
        <w:rPr>
          <w:rFonts w:ascii="Times New Roman" w:eastAsia="Times New Roman" w:hAnsi="Times New Roman" w:cs="Times New Roman"/>
          <w:bCs/>
          <w:sz w:val="24"/>
          <w:szCs w:val="24"/>
          <w:lang w:val="en-IN"/>
        </w:rPr>
        <w:t>: Ion exchange chromatography or capillary isoelectric focusing detect charge variants potentially affecting biological activity (Walsh, 2018).</w:t>
      </w:r>
    </w:p>
    <w:p w14:paraId="6371D8A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Glycosylation</w:t>
      </w:r>
      <w:r w:rsidRPr="00CC5FBA">
        <w:rPr>
          <w:rFonts w:ascii="Times New Roman" w:eastAsia="Times New Roman" w:hAnsi="Times New Roman" w:cs="Times New Roman"/>
          <w:bCs/>
          <w:sz w:val="24"/>
          <w:szCs w:val="24"/>
          <w:lang w:val="en-IN"/>
        </w:rPr>
        <w:t>: Mass spectrometry or other analytical methods characterize glycan structures, critical for therapeutic antibodies as glycosylation affects effector functions and pharmacokinetics (Konstantinov &amp; Cooney, 2015).</w:t>
      </w:r>
    </w:p>
    <w:p w14:paraId="21907B2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Potency</w:t>
      </w:r>
      <w:r w:rsidRPr="00CC5FBA">
        <w:rPr>
          <w:rFonts w:ascii="Times New Roman" w:eastAsia="Times New Roman" w:hAnsi="Times New Roman" w:cs="Times New Roman"/>
          <w:bCs/>
          <w:sz w:val="24"/>
          <w:szCs w:val="24"/>
          <w:lang w:val="en-IN"/>
        </w:rPr>
        <w:t>: Cell-based bioassays or binding assays measure biological activity, ultimate measure of product functionality (Wurm &amp; Hacker, 2011).</w:t>
      </w:r>
    </w:p>
    <w:p w14:paraId="3ED202E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109D9190">
          <v:rect id="_x0000_i1120" style="width:0;height:1.5pt" o:hralign="center" o:hrstd="t" o:hr="t" fillcolor="#a0a0a0" stroked="f"/>
        </w:pict>
      </w:r>
    </w:p>
    <w:p w14:paraId="19C723EE"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6: KEY LEARNING EXPERIENCES AND ACTIVITIES</w:t>
      </w:r>
    </w:p>
    <w:p w14:paraId="07BA0F2C"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6.1 Hands-on Laboratory and Manufacturing Exposure</w:t>
      </w:r>
    </w:p>
    <w:p w14:paraId="07E4B6D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The practical, hands-on nature of my internship provided invaluable experience with laboratory techniques, analytical instruments, and manufacturing operations that transformed theoretical knowledge into practical competency.</w:t>
      </w:r>
    </w:p>
    <w:p w14:paraId="6C4653B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Analytical Instrument Operation</w:t>
      </w:r>
      <w:r w:rsidRPr="00CC5FBA">
        <w:rPr>
          <w:rFonts w:ascii="Times New Roman" w:eastAsia="Times New Roman" w:hAnsi="Times New Roman" w:cs="Times New Roman"/>
          <w:bCs/>
          <w:sz w:val="24"/>
          <w:szCs w:val="24"/>
          <w:lang w:val="en-IN"/>
        </w:rPr>
        <w:t xml:space="preserve"> encompassed various spectroscopic, chromatographic, and other analytical techniques (Huang et al., 2012):</w:t>
      </w:r>
    </w:p>
    <w:p w14:paraId="610704A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UV-Vis Spectroscopy</w:t>
      </w:r>
      <w:r w:rsidRPr="00CC5FBA">
        <w:rPr>
          <w:rFonts w:ascii="Times New Roman" w:eastAsia="Times New Roman" w:hAnsi="Times New Roman" w:cs="Times New Roman"/>
          <w:bCs/>
          <w:sz w:val="24"/>
          <w:szCs w:val="24"/>
          <w:lang w:val="en-IN"/>
        </w:rPr>
        <w:t>: Regular protein concentration measurements developed proficiency in sample preparation, cuvette handling, blank preparation, spectrophotometer operation, and data interpretation. I learned troubleshooting approaches for inconsistent results including checking for bubbles, verifying wavelength accuracy, and ensuring proper blank preparation (Cereghino &amp; Cregg, 2000).</w:t>
      </w:r>
    </w:p>
    <w:p w14:paraId="654B2F4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Osmometry</w:t>
      </w:r>
      <w:r w:rsidRPr="00CC5FBA">
        <w:rPr>
          <w:rFonts w:ascii="Times New Roman" w:eastAsia="Times New Roman" w:hAnsi="Times New Roman" w:cs="Times New Roman"/>
          <w:bCs/>
          <w:sz w:val="24"/>
          <w:szCs w:val="24"/>
          <w:lang w:val="en-IN"/>
        </w:rPr>
        <w:t>: Vapor pressure osmometer operation for formulation testing taught me about calibration procedures using standard solutions, sample volume requirements, equilibration time importance, and result interpretation relative to physiological osmolality ranges (Stanbury et al., 2017).</w:t>
      </w:r>
    </w:p>
    <w:p w14:paraId="1062574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pH Meters</w:t>
      </w:r>
      <w:r w:rsidRPr="00CC5FBA">
        <w:rPr>
          <w:rFonts w:ascii="Times New Roman" w:eastAsia="Times New Roman" w:hAnsi="Times New Roman" w:cs="Times New Roman"/>
          <w:bCs/>
          <w:sz w:val="24"/>
          <w:szCs w:val="24"/>
          <w:lang w:val="en-IN"/>
        </w:rPr>
        <w:t>: Routine pH measurements throughout manufacturing and laboratory activities developed competency in electrode calibration using buffer solutions, proper electrode maintenance and storage, recognizing electrode degradation signs, and understanding buffer capacity effects (Valgepea et al., 2017).</w:t>
      </w:r>
    </w:p>
    <w:p w14:paraId="27BAB1A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Microbiological Techniques</w:t>
      </w:r>
      <w:r w:rsidRPr="00CC5FBA">
        <w:rPr>
          <w:rFonts w:ascii="Times New Roman" w:eastAsia="Times New Roman" w:hAnsi="Times New Roman" w:cs="Times New Roman"/>
          <w:bCs/>
          <w:sz w:val="24"/>
          <w:szCs w:val="24"/>
          <w:lang w:val="en-IN"/>
        </w:rPr>
        <w:t xml:space="preserve"> essential for bioprocess operations included (Doran, 2013):</w:t>
      </w:r>
    </w:p>
    <w:p w14:paraId="403F423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Aseptic Technique</w:t>
      </w:r>
      <w:r w:rsidRPr="00CC5FBA">
        <w:rPr>
          <w:rFonts w:ascii="Times New Roman" w:eastAsia="Times New Roman" w:hAnsi="Times New Roman" w:cs="Times New Roman"/>
          <w:bCs/>
          <w:sz w:val="24"/>
          <w:szCs w:val="24"/>
          <w:lang w:val="en-IN"/>
        </w:rPr>
        <w:t>: Working within laminar flow hoods, proper hand washing and gowning procedures, sterile transfer techniques, and contamination prevention strategies became second nature through daily practice.</w:t>
      </w:r>
    </w:p>
    <w:p w14:paraId="55DC284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Microscopy</w:t>
      </w:r>
      <w:r w:rsidRPr="00CC5FBA">
        <w:rPr>
          <w:rFonts w:ascii="Times New Roman" w:eastAsia="Times New Roman" w:hAnsi="Times New Roman" w:cs="Times New Roman"/>
          <w:bCs/>
          <w:sz w:val="24"/>
          <w:szCs w:val="24"/>
          <w:lang w:val="en-IN"/>
        </w:rPr>
        <w:t>: Light microscopy for cell morphology examination, viability assessment using trypan blue exclusion, and contamination detection developed visual recognition skills for normal versus abnormal cell appearance (Shuler &amp; Kargi, 2017).</w:t>
      </w:r>
    </w:p>
    <w:p w14:paraId="7A02D02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Sterility Testing</w:t>
      </w:r>
      <w:r w:rsidRPr="00CC5FBA">
        <w:rPr>
          <w:rFonts w:ascii="Times New Roman" w:eastAsia="Times New Roman" w:hAnsi="Times New Roman" w:cs="Times New Roman"/>
          <w:bCs/>
          <w:sz w:val="24"/>
          <w:szCs w:val="24"/>
          <w:lang w:val="en-IN"/>
        </w:rPr>
        <w:t>: While not performing actual product release sterility tests, I gained exposure to sterility testing principles, media preparation, and interpretation of results (Sarkar et al., 2016).</w:t>
      </w:r>
    </w:p>
    <w:p w14:paraId="58F8ABF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Process Sampling</w:t>
      </w:r>
      <w:r w:rsidRPr="00CC5FBA">
        <w:rPr>
          <w:rFonts w:ascii="Times New Roman" w:eastAsia="Times New Roman" w:hAnsi="Times New Roman" w:cs="Times New Roman"/>
          <w:bCs/>
          <w:sz w:val="24"/>
          <w:szCs w:val="24"/>
          <w:lang w:val="en-IN"/>
        </w:rPr>
        <w:t xml:space="preserve"> throughout upstream and downstream operations taught proper sampling techniques including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56E9A19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Aseptic Sampling</w:t>
      </w:r>
      <w:r w:rsidRPr="00CC5FBA">
        <w:rPr>
          <w:rFonts w:ascii="Times New Roman" w:eastAsia="Times New Roman" w:hAnsi="Times New Roman" w:cs="Times New Roman"/>
          <w:bCs/>
          <w:sz w:val="24"/>
          <w:szCs w:val="24"/>
          <w:lang w:val="en-IN"/>
        </w:rPr>
        <w:t>: Maintaining sterility during bioreactor sampling through proper port preparation, sample collection into sterile containers, and minimizing contamination risk.</w:t>
      </w:r>
    </w:p>
    <w:p w14:paraId="5BE99BB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Representative Sampling</w:t>
      </w:r>
      <w:r w:rsidRPr="00CC5FBA">
        <w:rPr>
          <w:rFonts w:ascii="Times New Roman" w:eastAsia="Times New Roman" w:hAnsi="Times New Roman" w:cs="Times New Roman"/>
          <w:bCs/>
          <w:sz w:val="24"/>
          <w:szCs w:val="24"/>
          <w:lang w:val="en-IN"/>
        </w:rPr>
        <w:t>: Ensuring samples accurately represent bulk material through proper mixing before sampling, appropriate sample sizes, and proper sample handling (Schenk et al., 2015).</w:t>
      </w:r>
    </w:p>
    <w:p w14:paraId="2C077E3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Sample Handling</w:t>
      </w:r>
      <w:r w:rsidRPr="00CC5FBA">
        <w:rPr>
          <w:rFonts w:ascii="Times New Roman" w:eastAsia="Times New Roman" w:hAnsi="Times New Roman" w:cs="Times New Roman"/>
          <w:bCs/>
          <w:sz w:val="24"/>
          <w:szCs w:val="24"/>
          <w:lang w:val="en-IN"/>
        </w:rPr>
        <w:t xml:space="preserve">: Maintaining sample integrity through appropriate storage temperatures, timely analysis, and proper </w:t>
      </w:r>
      <w:proofErr w:type="spellStart"/>
      <w:r w:rsidRPr="00CC5FBA">
        <w:rPr>
          <w:rFonts w:ascii="Times New Roman" w:eastAsia="Times New Roman" w:hAnsi="Times New Roman" w:cs="Times New Roman"/>
          <w:bCs/>
          <w:sz w:val="24"/>
          <w:szCs w:val="24"/>
          <w:lang w:val="en-IN"/>
        </w:rPr>
        <w:t>labeling</w:t>
      </w:r>
      <w:proofErr w:type="spellEnd"/>
      <w:r w:rsidRPr="00CC5FBA">
        <w:rPr>
          <w:rFonts w:ascii="Times New Roman" w:eastAsia="Times New Roman" w:hAnsi="Times New Roman" w:cs="Times New Roman"/>
          <w:bCs/>
          <w:sz w:val="24"/>
          <w:szCs w:val="24"/>
          <w:lang w:val="en-IN"/>
        </w:rPr>
        <w:t xml:space="preserve"> and chain of custody documentation (Li et al., 2019).</w:t>
      </w:r>
    </w:p>
    <w:p w14:paraId="3682E44B"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6.2 Documentation and Regulatory Activities</w:t>
      </w:r>
    </w:p>
    <w:p w14:paraId="567CEDE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lastRenderedPageBreak/>
        <w:t>Comprehensive exposure to cGMP documentation practices and regulatory requirements provided understanding of quality systems underlying biopharmaceutical manufacturing (Zhang et al., 2020).</w:t>
      </w:r>
    </w:p>
    <w:p w14:paraId="11C0B7C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Batch Record Management</w:t>
      </w:r>
      <w:r w:rsidRPr="00CC5FBA">
        <w:rPr>
          <w:rFonts w:ascii="Times New Roman" w:eastAsia="Times New Roman" w:hAnsi="Times New Roman" w:cs="Times New Roman"/>
          <w:bCs/>
          <w:sz w:val="24"/>
          <w:szCs w:val="24"/>
          <w:lang w:val="en-IN"/>
        </w:rPr>
        <w:t xml:space="preserve"> including (Buchholz et al., 2021):</w:t>
      </w:r>
    </w:p>
    <w:p w14:paraId="295616F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Batch Record Review</w:t>
      </w:r>
      <w:r w:rsidRPr="00CC5FBA">
        <w:rPr>
          <w:rFonts w:ascii="Times New Roman" w:eastAsia="Times New Roman" w:hAnsi="Times New Roman" w:cs="Times New Roman"/>
          <w:bCs/>
          <w:sz w:val="24"/>
          <w:szCs w:val="24"/>
          <w:lang w:val="en-IN"/>
        </w:rPr>
        <w:t>: Systematic review of completed batch records checking for completeness, accuracy, parameter compliance, deviation documentation, and proper signatures. I developed proficiency in identifying discrepancies requiring investigation and recognizing patterns suggesting systemic issues.</w:t>
      </w:r>
    </w:p>
    <w:p w14:paraId="66BCEAB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Deviation Documentation</w:t>
      </w:r>
      <w:r w:rsidRPr="00CC5FBA">
        <w:rPr>
          <w:rFonts w:ascii="Times New Roman" w:eastAsia="Times New Roman" w:hAnsi="Times New Roman" w:cs="Times New Roman"/>
          <w:bCs/>
          <w:sz w:val="24"/>
          <w:szCs w:val="24"/>
          <w:lang w:val="en-IN"/>
        </w:rPr>
        <w:t>: Preparing deviation reports including event descriptions, immediate actions taken, preliminary impact assessments, and investigation plans. Learning to write clear, factual descriptions without speculation or premature conclusions (Lara et al., 2019).</w:t>
      </w:r>
    </w:p>
    <w:p w14:paraId="78860DA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Investigation Reports</w:t>
      </w:r>
      <w:r w:rsidRPr="00CC5FBA">
        <w:rPr>
          <w:rFonts w:ascii="Times New Roman" w:eastAsia="Times New Roman" w:hAnsi="Times New Roman" w:cs="Times New Roman"/>
          <w:bCs/>
          <w:sz w:val="24"/>
          <w:szCs w:val="24"/>
          <w:lang w:val="en-IN"/>
        </w:rPr>
        <w:t>: Contributing to investigation documentation including data gathering, timeline development, root cause analysis, impact assessment, and CAPA development (Rathore et al., 2022).</w:t>
      </w:r>
    </w:p>
    <w:p w14:paraId="49C7AED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Procedure Development and Management</w:t>
      </w:r>
      <w:r w:rsidRPr="00CC5FBA">
        <w:rPr>
          <w:rFonts w:ascii="Times New Roman" w:eastAsia="Times New Roman" w:hAnsi="Times New Roman" w:cs="Times New Roman"/>
          <w:bCs/>
          <w:sz w:val="24"/>
          <w:szCs w:val="24"/>
          <w:lang w:val="en-IN"/>
        </w:rPr>
        <w:t xml:space="preserve"> (Walsh, 2018):</w:t>
      </w:r>
    </w:p>
    <w:p w14:paraId="0C8A634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SOP Writing</w:t>
      </w:r>
      <w:r w:rsidRPr="00CC5FBA">
        <w:rPr>
          <w:rFonts w:ascii="Times New Roman" w:eastAsia="Times New Roman" w:hAnsi="Times New Roman" w:cs="Times New Roman"/>
          <w:bCs/>
          <w:sz w:val="24"/>
          <w:szCs w:val="24"/>
          <w:lang w:val="en-IN"/>
        </w:rPr>
        <w:t>: Drafting and revising Standard Operating Procedures for laboratory methods, equipment operation, and documentation practices. Learning to balance detail with usability, organize procedures logically, and write clear instructions (Konstantinov &amp; Cooney, 2015).</w:t>
      </w:r>
    </w:p>
    <w:p w14:paraId="340EEB4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Procedure Review</w:t>
      </w:r>
      <w:r w:rsidRPr="00CC5FBA">
        <w:rPr>
          <w:rFonts w:ascii="Times New Roman" w:eastAsia="Times New Roman" w:hAnsi="Times New Roman" w:cs="Times New Roman"/>
          <w:bCs/>
          <w:sz w:val="24"/>
          <w:szCs w:val="24"/>
          <w:lang w:val="en-IN"/>
        </w:rPr>
        <w:t>: Participating in technical review of procedures checking accuracy, feasibility, consistency with regulations, and alignment with actual practices (Wurm &amp; Hacker, 2011).</w:t>
      </w:r>
    </w:p>
    <w:p w14:paraId="3B65499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Training Material Development</w:t>
      </w:r>
      <w:r w:rsidRPr="00CC5FBA">
        <w:rPr>
          <w:rFonts w:ascii="Times New Roman" w:eastAsia="Times New Roman" w:hAnsi="Times New Roman" w:cs="Times New Roman"/>
          <w:bCs/>
          <w:sz w:val="24"/>
          <w:szCs w:val="24"/>
          <w:lang w:val="en-IN"/>
        </w:rPr>
        <w:t>: Creating PowerPoint presentations, quick reference guides, and other training materials supporting procedure implementation (Huang et al., 2012).</w:t>
      </w:r>
    </w:p>
    <w:p w14:paraId="37C4887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Validation Documentation</w:t>
      </w:r>
      <w:r w:rsidRPr="00CC5FBA">
        <w:rPr>
          <w:rFonts w:ascii="Times New Roman" w:eastAsia="Times New Roman" w:hAnsi="Times New Roman" w:cs="Times New Roman"/>
          <w:bCs/>
          <w:sz w:val="24"/>
          <w:szCs w:val="24"/>
          <w:lang w:val="en-IN"/>
        </w:rPr>
        <w:t xml:space="preserve"> (Cereghino &amp; Cregg, 2000):</w:t>
      </w:r>
    </w:p>
    <w:p w14:paraId="09B4CF1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Protocol Preparation</w:t>
      </w:r>
      <w:r w:rsidRPr="00CC5FBA">
        <w:rPr>
          <w:rFonts w:ascii="Times New Roman" w:eastAsia="Times New Roman" w:hAnsi="Times New Roman" w:cs="Times New Roman"/>
          <w:bCs/>
          <w:sz w:val="24"/>
          <w:szCs w:val="24"/>
          <w:lang w:val="en-IN"/>
        </w:rPr>
        <w:t>: Contributing to validation protocol writing including objectives, scope, responsibilities, acceptance criteria, test methods, and data analysis plans.</w:t>
      </w:r>
    </w:p>
    <w:p w14:paraId="7879A19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Report Writing</w:t>
      </w:r>
      <w:r w:rsidRPr="00CC5FBA">
        <w:rPr>
          <w:rFonts w:ascii="Times New Roman" w:eastAsia="Times New Roman" w:hAnsi="Times New Roman" w:cs="Times New Roman"/>
          <w:bCs/>
          <w:sz w:val="24"/>
          <w:szCs w:val="24"/>
          <w:lang w:val="en-IN"/>
        </w:rPr>
        <w:t>: Compiling validation reports presenting results, statistical analysis, conclusions, and supporting appendices. Learning to present technical information clearly for diverse audiences including regulatory reviewers (Stanbury et al., 2017).</w:t>
      </w:r>
    </w:p>
    <w:p w14:paraId="6D38D77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Master Document Maintenance</w:t>
      </w:r>
      <w:r w:rsidRPr="00CC5FBA">
        <w:rPr>
          <w:rFonts w:ascii="Times New Roman" w:eastAsia="Times New Roman" w:hAnsi="Times New Roman" w:cs="Times New Roman"/>
          <w:bCs/>
          <w:sz w:val="24"/>
          <w:szCs w:val="24"/>
          <w:lang w:val="en-IN"/>
        </w:rPr>
        <w:t>: Updating validation master plans, equipment qualification documents, and validation summary reports reflecting current validation status (Valgepea et al., 2017).</w:t>
      </w:r>
    </w:p>
    <w:p w14:paraId="38AF3106"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6.3 Cross-functional Collaboration</w:t>
      </w:r>
    </w:p>
    <w:p w14:paraId="33F8749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Biopharmaceutical manufacturing requires seamless coordination across multiple departments, providing valuable experience in cross-functional teamwork (Doran, 2013).</w:t>
      </w:r>
    </w:p>
    <w:p w14:paraId="5D9DB4A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Interdepartmental Interactions</w:t>
      </w:r>
      <w:r w:rsidRPr="00CC5FBA">
        <w:rPr>
          <w:rFonts w:ascii="Times New Roman" w:eastAsia="Times New Roman" w:hAnsi="Times New Roman" w:cs="Times New Roman"/>
          <w:bCs/>
          <w:sz w:val="24"/>
          <w:szCs w:val="24"/>
          <w:lang w:val="en-IN"/>
        </w:rPr>
        <w:t xml:space="preserve"> included (Shuler &amp; Kargi, 2017):</w:t>
      </w:r>
    </w:p>
    <w:p w14:paraId="06281E7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Quality Assurance</w:t>
      </w:r>
      <w:r w:rsidRPr="00CC5FBA">
        <w:rPr>
          <w:rFonts w:ascii="Times New Roman" w:eastAsia="Times New Roman" w:hAnsi="Times New Roman" w:cs="Times New Roman"/>
          <w:bCs/>
          <w:sz w:val="24"/>
          <w:szCs w:val="24"/>
          <w:lang w:val="en-IN"/>
        </w:rPr>
        <w:t>: Regular interactions with QA regarding batch record review, deviation investigations, change controls, and validation activities. Understanding QA perspective on risk assessment and compliance requirements (Sarkar et al., 2016).</w:t>
      </w:r>
    </w:p>
    <w:p w14:paraId="4C24C29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Quality Control</w:t>
      </w:r>
      <w:r w:rsidRPr="00CC5FBA">
        <w:rPr>
          <w:rFonts w:ascii="Times New Roman" w:eastAsia="Times New Roman" w:hAnsi="Times New Roman" w:cs="Times New Roman"/>
          <w:bCs/>
          <w:sz w:val="24"/>
          <w:szCs w:val="24"/>
          <w:lang w:val="en-IN"/>
        </w:rPr>
        <w:t>: Coordination with QC laboratories for sample submission, result interpretation, OOS investigations, and analytical method questions. Appreciating QC workload and scheduling constraints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394A307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Manufacturing Operations</w:t>
      </w:r>
      <w:r w:rsidRPr="00CC5FBA">
        <w:rPr>
          <w:rFonts w:ascii="Times New Roman" w:eastAsia="Times New Roman" w:hAnsi="Times New Roman" w:cs="Times New Roman"/>
          <w:bCs/>
          <w:sz w:val="24"/>
          <w:szCs w:val="24"/>
          <w:lang w:val="en-IN"/>
        </w:rPr>
        <w:t>: Supporting production teams with troubleshooting, training, procedure clarification, and process optimization discussions. Understanding operational constraints and practical implementation challenges (Schenk et al., 2015).</w:t>
      </w:r>
    </w:p>
    <w:p w14:paraId="6E32FB2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Process Development</w:t>
      </w:r>
      <w:r w:rsidRPr="00CC5FBA">
        <w:rPr>
          <w:rFonts w:ascii="Times New Roman" w:eastAsia="Times New Roman" w:hAnsi="Times New Roman" w:cs="Times New Roman"/>
          <w:bCs/>
          <w:sz w:val="24"/>
          <w:szCs w:val="24"/>
          <w:lang w:val="en-IN"/>
        </w:rPr>
        <w:t>: Interfacing with R&amp;D teams during technology transfer, reviewing development reports, discussing scale-up challenges, and providing commercial manufacturing feedback (Li et al., 2019).</w:t>
      </w:r>
    </w:p>
    <w:p w14:paraId="34D92B6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Regulatory Affairs</w:t>
      </w:r>
      <w:r w:rsidRPr="00CC5FBA">
        <w:rPr>
          <w:rFonts w:ascii="Times New Roman" w:eastAsia="Times New Roman" w:hAnsi="Times New Roman" w:cs="Times New Roman"/>
          <w:bCs/>
          <w:sz w:val="24"/>
          <w:szCs w:val="24"/>
          <w:lang w:val="en-IN"/>
        </w:rPr>
        <w:t>: Learning about regulatory submission timelines, regulatory expectations, inspection preparation, and how MSAT activities support regulatory compliance (Zhang et al., 2020).</w:t>
      </w:r>
    </w:p>
    <w:p w14:paraId="0A6214F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Meeting Participation</w:t>
      </w:r>
      <w:r w:rsidRPr="00CC5FBA">
        <w:rPr>
          <w:rFonts w:ascii="Times New Roman" w:eastAsia="Times New Roman" w:hAnsi="Times New Roman" w:cs="Times New Roman"/>
          <w:bCs/>
          <w:sz w:val="24"/>
          <w:szCs w:val="24"/>
          <w:lang w:val="en-IN"/>
        </w:rPr>
        <w:t xml:space="preserve"> provided exposure to various communication forums (Buchholz et al., 2021):</w:t>
      </w:r>
    </w:p>
    <w:p w14:paraId="6FCAEA5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Batch Review Meetings</w:t>
      </w:r>
      <w:r w:rsidRPr="00CC5FBA">
        <w:rPr>
          <w:rFonts w:ascii="Times New Roman" w:eastAsia="Times New Roman" w:hAnsi="Times New Roman" w:cs="Times New Roman"/>
          <w:bCs/>
          <w:sz w:val="24"/>
          <w:szCs w:val="24"/>
          <w:lang w:val="en-IN"/>
        </w:rPr>
        <w:t>: Weekly or bi-weekly forums reviewing recent batch performance, discussing deviations, sharing lessons learned, and coordinating improvement initiatives (Lara et al., 2019).</w:t>
      </w:r>
    </w:p>
    <w:p w14:paraId="568D2F0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Deviation Review Boards</w:t>
      </w:r>
      <w:r w:rsidRPr="00CC5FBA">
        <w:rPr>
          <w:rFonts w:ascii="Times New Roman" w:eastAsia="Times New Roman" w:hAnsi="Times New Roman" w:cs="Times New Roman"/>
          <w:bCs/>
          <w:sz w:val="24"/>
          <w:szCs w:val="24"/>
          <w:lang w:val="en-IN"/>
        </w:rPr>
        <w:t>: Periodic meetings reviewing significant deviations, challenging investigation conclusions, approving CAPAs, and monitoring CAPA effectiveness (Rathore et al., 2022).</w:t>
      </w:r>
    </w:p>
    <w:p w14:paraId="0151D92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Change Control Boards</w:t>
      </w:r>
      <w:r w:rsidRPr="00CC5FBA">
        <w:rPr>
          <w:rFonts w:ascii="Times New Roman" w:eastAsia="Times New Roman" w:hAnsi="Times New Roman" w:cs="Times New Roman"/>
          <w:bCs/>
          <w:sz w:val="24"/>
          <w:szCs w:val="24"/>
          <w:lang w:val="en-IN"/>
        </w:rPr>
        <w:t>: Evaluating proposed changes, assessing validation impacts, approving implementation plans, and tracking change completion (Walsh, 2018).</w:t>
      </w:r>
    </w:p>
    <w:p w14:paraId="3C04EDE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i/>
          <w:iCs/>
          <w:sz w:val="24"/>
          <w:szCs w:val="24"/>
          <w:lang w:val="en-IN"/>
        </w:rPr>
        <w:t>Validation Team Meetings</w:t>
      </w:r>
      <w:r w:rsidRPr="00CC5FBA">
        <w:rPr>
          <w:rFonts w:ascii="Times New Roman" w:eastAsia="Times New Roman" w:hAnsi="Times New Roman" w:cs="Times New Roman"/>
          <w:bCs/>
          <w:sz w:val="24"/>
          <w:szCs w:val="24"/>
          <w:lang w:val="en-IN"/>
        </w:rPr>
        <w:t>: Coordinating validation activities, reviewing protocols and reports, discussing regulatory expectations, and planning validation strategies (Konstantinov &amp; Cooney, 2015).</w:t>
      </w:r>
    </w:p>
    <w:p w14:paraId="2426D7D6"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6.4 Technical Skills Development</w:t>
      </w:r>
    </w:p>
    <w:p w14:paraId="0132FEC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Beyond specific technical procedures, internship developed broader professional competencies essential for biopharmaceutical careers (Wurm &amp; Hacker, 2011).</w:t>
      </w:r>
    </w:p>
    <w:p w14:paraId="1C65614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Analytical Thinking</w:t>
      </w:r>
      <w:r w:rsidRPr="00CC5FBA">
        <w:rPr>
          <w:rFonts w:ascii="Times New Roman" w:eastAsia="Times New Roman" w:hAnsi="Times New Roman" w:cs="Times New Roman"/>
          <w:bCs/>
          <w:sz w:val="24"/>
          <w:szCs w:val="24"/>
          <w:lang w:val="en-IN"/>
        </w:rPr>
        <w:t>: Approaching problems systematically, gathering relevant data, evaluating multiple hypotheses, and drawing evidence-based conclusions. Deviation investigations particularly developed analytical reasoning skills (Huang et al., 2012).</w:t>
      </w:r>
    </w:p>
    <w:p w14:paraId="7850B43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lastRenderedPageBreak/>
        <w:t>Attention to Detail</w:t>
      </w:r>
      <w:r w:rsidRPr="00CC5FBA">
        <w:rPr>
          <w:rFonts w:ascii="Times New Roman" w:eastAsia="Times New Roman" w:hAnsi="Times New Roman" w:cs="Times New Roman"/>
          <w:bCs/>
          <w:sz w:val="24"/>
          <w:szCs w:val="24"/>
          <w:lang w:val="en-IN"/>
        </w:rPr>
        <w:t>: Recognizing that small errors can have major consequences in pharmaceutical manufacturing, developing habits of careful work, thorough checking, and meticulous documentation (Cereghino &amp; Cregg, 2000).</w:t>
      </w:r>
    </w:p>
    <w:p w14:paraId="4B1F3AE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Time Management</w:t>
      </w:r>
      <w:r w:rsidRPr="00CC5FBA">
        <w:rPr>
          <w:rFonts w:ascii="Times New Roman" w:eastAsia="Times New Roman" w:hAnsi="Times New Roman" w:cs="Times New Roman"/>
          <w:bCs/>
          <w:sz w:val="24"/>
          <w:szCs w:val="24"/>
          <w:lang w:val="en-IN"/>
        </w:rPr>
        <w:t>: Balancing multiple concurrent projects, meeting deadlines, prioritizing tasks effectively, and managing competing demands on time and attention (Stanbury et al., 2017).</w:t>
      </w:r>
    </w:p>
    <w:p w14:paraId="08245F2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Technical Communication</w:t>
      </w:r>
      <w:r w:rsidRPr="00CC5FBA">
        <w:rPr>
          <w:rFonts w:ascii="Times New Roman" w:eastAsia="Times New Roman" w:hAnsi="Times New Roman" w:cs="Times New Roman"/>
          <w:bCs/>
          <w:sz w:val="24"/>
          <w:szCs w:val="24"/>
          <w:lang w:val="en-IN"/>
        </w:rPr>
        <w:t>: Writing clear technical documents for diverse audiences, presenting information effectively in meetings, explaining complex concepts simply, and active listening to understand others' perspectives (Valgepea et al., 2017).</w:t>
      </w:r>
    </w:p>
    <w:p w14:paraId="766338D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Problem-Solving</w:t>
      </w:r>
      <w:r w:rsidRPr="00CC5FBA">
        <w:rPr>
          <w:rFonts w:ascii="Times New Roman" w:eastAsia="Times New Roman" w:hAnsi="Times New Roman" w:cs="Times New Roman"/>
          <w:bCs/>
          <w:sz w:val="24"/>
          <w:szCs w:val="24"/>
          <w:lang w:val="en-IN"/>
        </w:rPr>
        <w:t>: Approaching challenges creatively, considering multiple potential solutions, evaluating feasibility and risks, and implementing effective solutions (Doran, 2013).</w:t>
      </w:r>
    </w:p>
    <w:p w14:paraId="5787F8C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07E5F491">
          <v:rect id="_x0000_i1121" style="width:0;height:1.5pt" o:hralign="center" o:hrstd="t" o:hr="t" fillcolor="#a0a0a0" stroked="f"/>
        </w:pict>
      </w:r>
    </w:p>
    <w:p w14:paraId="1660BDF2"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CHAPTER 7: CONCLUSION AND FUTURE PERSPECTIVES</w:t>
      </w:r>
    </w:p>
    <w:p w14:paraId="1863AED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My internship at Biocon Biologics Limited, beginning June 9, 2025, and continuing through present, has provided transformative educational and professional development experience that dramatically expanded my understanding of biopharmaceutical manufacturing, quality systems, regulatory compliance, and the critical role of Manufacturing Science and Technology in ensuring consistent production of safe, effective biological therapeutics.</w:t>
      </w:r>
    </w:p>
    <w:p w14:paraId="4337B50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Key Accomplishments and Learning Outcomes</w:t>
      </w:r>
      <w:r w:rsidRPr="00CC5FBA">
        <w:rPr>
          <w:rFonts w:ascii="Times New Roman" w:eastAsia="Times New Roman" w:hAnsi="Times New Roman" w:cs="Times New Roman"/>
          <w:bCs/>
          <w:sz w:val="24"/>
          <w:szCs w:val="24"/>
          <w:lang w:val="en-IN"/>
        </w:rPr>
        <w:t xml:space="preserve">: Through six months of intensive, hands-on involvement in MSAT operations, I achieved comprehensive understanding of validation lifecycle from process design through continued process verification, practical competency with analytical methods and laboratory techniques essential for bioprocess monitoring and product quality assessment, deep appreciation for documentation requirements and quality management systems underlying cGMP compliance, experience with deviation investigation methodologies and root cause analysis approaches, understanding of technology transfer processes and scale-up challenges, exposure to upstream and downstream bioprocessing unit operations, development of cross-functional collaboration skills through interactions with QA, QC, Manufacturing, R&amp;D, and Regulatory Affairs, and professional competencies including analytical thinking, attention to detail, technical communication, and problem-solving (Shuler &amp; Kargi, 2017; </w:t>
      </w:r>
      <w:proofErr w:type="spellStart"/>
      <w:r w:rsidRPr="00CC5FBA">
        <w:rPr>
          <w:rFonts w:ascii="Times New Roman" w:eastAsia="Times New Roman" w:hAnsi="Times New Roman" w:cs="Times New Roman"/>
          <w:bCs/>
          <w:sz w:val="24"/>
          <w:szCs w:val="24"/>
          <w:lang w:val="en-IN"/>
        </w:rPr>
        <w:t>Mandenius</w:t>
      </w:r>
      <w:proofErr w:type="spellEnd"/>
      <w:r w:rsidRPr="00CC5FBA">
        <w:rPr>
          <w:rFonts w:ascii="Times New Roman" w:eastAsia="Times New Roman" w:hAnsi="Times New Roman" w:cs="Times New Roman"/>
          <w:bCs/>
          <w:sz w:val="24"/>
          <w:szCs w:val="24"/>
          <w:lang w:val="en-IN"/>
        </w:rPr>
        <w:t xml:space="preserve"> &amp; Gustavsson, 2015).</w:t>
      </w:r>
    </w:p>
    <w:p w14:paraId="4B29244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Integration of Academic Knowledge with Industrial Practice</w:t>
      </w:r>
      <w:r w:rsidRPr="00CC5FBA">
        <w:rPr>
          <w:rFonts w:ascii="Times New Roman" w:eastAsia="Times New Roman" w:hAnsi="Times New Roman" w:cs="Times New Roman"/>
          <w:bCs/>
          <w:sz w:val="24"/>
          <w:szCs w:val="24"/>
          <w:lang w:val="en-IN"/>
        </w:rPr>
        <w:t xml:space="preserve">: The internship provided invaluable opportunity to apply theoretical concepts learned through coursework to real-world industrial challenges. Classroom knowledge of cell culture, protein purification, analytical methods, and quality management transformed from abstract concepts to practical tools for solving manufacturing problems and ensuring product quality. Understanding how scientific principles guide process design decisions, how engineering considerations influence scale-up strategies, and how regulatory requirements shape validation approaches </w:t>
      </w:r>
      <w:r w:rsidRPr="00CC5FBA">
        <w:rPr>
          <w:rFonts w:ascii="Times New Roman" w:eastAsia="Times New Roman" w:hAnsi="Times New Roman" w:cs="Times New Roman"/>
          <w:bCs/>
          <w:sz w:val="24"/>
          <w:szCs w:val="24"/>
          <w:lang w:val="en-IN"/>
        </w:rPr>
        <w:lastRenderedPageBreak/>
        <w:t>bridged the gap between academic learning and industrial application (Rathore et al., 2022; Walsh, 2018).</w:t>
      </w:r>
    </w:p>
    <w:p w14:paraId="0461F4B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Professional Development</w:t>
      </w:r>
      <w:r w:rsidRPr="00CC5FBA">
        <w:rPr>
          <w:rFonts w:ascii="Times New Roman" w:eastAsia="Times New Roman" w:hAnsi="Times New Roman" w:cs="Times New Roman"/>
          <w:bCs/>
          <w:sz w:val="24"/>
          <w:szCs w:val="24"/>
          <w:lang w:val="en-IN"/>
        </w:rPr>
        <w:t xml:space="preserve">: Beyond technical skills, the internship fostered professional growth in workplace </w:t>
      </w:r>
      <w:proofErr w:type="spellStart"/>
      <w:r w:rsidRPr="00CC5FBA">
        <w:rPr>
          <w:rFonts w:ascii="Times New Roman" w:eastAsia="Times New Roman" w:hAnsi="Times New Roman" w:cs="Times New Roman"/>
          <w:bCs/>
          <w:sz w:val="24"/>
          <w:szCs w:val="24"/>
          <w:lang w:val="en-IN"/>
        </w:rPr>
        <w:t>behaviors</w:t>
      </w:r>
      <w:proofErr w:type="spellEnd"/>
      <w:r w:rsidRPr="00CC5FBA">
        <w:rPr>
          <w:rFonts w:ascii="Times New Roman" w:eastAsia="Times New Roman" w:hAnsi="Times New Roman" w:cs="Times New Roman"/>
          <w:bCs/>
          <w:sz w:val="24"/>
          <w:szCs w:val="24"/>
          <w:lang w:val="en-IN"/>
        </w:rPr>
        <w:t xml:space="preserve">, ethical practices, and career readiness. Operating within highly regulated pharmaceutical environment emphasized importance of integrity, accuracy, and accountability. Observing experienced </w:t>
      </w:r>
      <w:proofErr w:type="gramStart"/>
      <w:r w:rsidRPr="00CC5FBA">
        <w:rPr>
          <w:rFonts w:ascii="Times New Roman" w:eastAsia="Times New Roman" w:hAnsi="Times New Roman" w:cs="Times New Roman"/>
          <w:bCs/>
          <w:sz w:val="24"/>
          <w:szCs w:val="24"/>
          <w:lang w:val="en-IN"/>
        </w:rPr>
        <w:t>professionals</w:t>
      </w:r>
      <w:proofErr w:type="gramEnd"/>
      <w:r w:rsidRPr="00CC5FBA">
        <w:rPr>
          <w:rFonts w:ascii="Times New Roman" w:eastAsia="Times New Roman" w:hAnsi="Times New Roman" w:cs="Times New Roman"/>
          <w:bCs/>
          <w:sz w:val="24"/>
          <w:szCs w:val="24"/>
          <w:lang w:val="en-IN"/>
        </w:rPr>
        <w:t xml:space="preserve"> model best practices in technical leadership, cross-functional collaboration, and problem-solving provided mentorship extending beyond formal training. Understanding organizational culture, quality mindset, and continuous improvement philosophy prepared me for future professional roles in biopharmaceutical industry (Buchholz et al., 2021; Lopes et al., 2023).</w:t>
      </w:r>
    </w:p>
    <w:p w14:paraId="3CF4DA8E"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Future Perspectives and Career Preparation</w:t>
      </w:r>
      <w:r w:rsidRPr="00CC5FBA">
        <w:rPr>
          <w:rFonts w:ascii="Times New Roman" w:eastAsia="Times New Roman" w:hAnsi="Times New Roman" w:cs="Times New Roman"/>
          <w:bCs/>
          <w:sz w:val="24"/>
          <w:szCs w:val="24"/>
          <w:lang w:val="en-IN"/>
        </w:rPr>
        <w:t>: This internship experience has solidified my interest in pursuing career within biopharmaceutical industry, potentially in process development, manufacturing science, quality assurance, or regulatory affairs roles. The comprehensive exposure to diverse MSAT functions has provided strong foundation for entry-level positions while identifying areas for continued learning and specialization. Understanding current industry challenges including process intensification, continuous manufacturing implementation, advanced process control through PAT and data analytics, and regulatory landscape evolution has prepared me to contribute to ongoing industry transformation (Konstantinov &amp; Cooney, 2015; Li et al., 2019).</w:t>
      </w:r>
    </w:p>
    <w:p w14:paraId="18715287"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Continuing Internship</w:t>
      </w:r>
      <w:r w:rsidRPr="00CC5FBA">
        <w:rPr>
          <w:rFonts w:ascii="Times New Roman" w:eastAsia="Times New Roman" w:hAnsi="Times New Roman" w:cs="Times New Roman"/>
          <w:bCs/>
          <w:sz w:val="24"/>
          <w:szCs w:val="24"/>
          <w:lang w:val="en-IN"/>
        </w:rPr>
        <w:t>: As my internship continues beyond this report submission, I anticipate further deepening my technical expertise, taking on additional responsibilities, and contributing more independently to MSAT projects and objectives. The foundation established during these initial months positions me for accelerated learning and increased contribution during the remainder of my internship tenure.</w:t>
      </w:r>
    </w:p>
    <w:p w14:paraId="4E77CFD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
          <w:bCs/>
          <w:sz w:val="24"/>
          <w:szCs w:val="24"/>
          <w:lang w:val="en-IN"/>
        </w:rPr>
        <w:t>Acknowledgment of Support</w:t>
      </w:r>
      <w:r w:rsidRPr="00CC5FBA">
        <w:rPr>
          <w:rFonts w:ascii="Times New Roman" w:eastAsia="Times New Roman" w:hAnsi="Times New Roman" w:cs="Times New Roman"/>
          <w:bCs/>
          <w:sz w:val="24"/>
          <w:szCs w:val="24"/>
          <w:lang w:val="en-IN"/>
        </w:rPr>
        <w:t>: The success of this internship reflects generous investment of time, expertise, and mentorship by Biocon Biologics personnel, particularly Mr. Sanjay Rout, Ms. Kala Chandramouli, and Ms. Harini A, whose guidance shaped my learning experience. The collaborative, knowledge-sharing culture within MSAT department created ideal environment for learning and professional development. This experience has instilled deep appreciation for biopharmaceutical manufacturing complexity and importance, inspiring commitment to contribute to this vital industry's mission of delivering life-saving therapies to patients worldwide (Zhang et al., 2020; Lara et al., 2019).</w:t>
      </w:r>
    </w:p>
    <w:p w14:paraId="656C8FC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pict w14:anchorId="1BE41B72">
          <v:rect id="_x0000_i1122" style="width:0;height:1.5pt" o:hralign="center" o:hrstd="t" o:hr="t" fillcolor="#a0a0a0" stroked="f"/>
        </w:pict>
      </w:r>
    </w:p>
    <w:p w14:paraId="10D4424D" w14:textId="77777777" w:rsidR="00CC5FBA" w:rsidRPr="00CC5FBA" w:rsidRDefault="00CC5FBA" w:rsidP="00CC5FBA">
      <w:pPr>
        <w:spacing w:after="160" w:line="259" w:lineRule="auto"/>
        <w:rPr>
          <w:rFonts w:ascii="Times New Roman" w:eastAsia="Times New Roman" w:hAnsi="Times New Roman" w:cs="Times New Roman"/>
          <w:b/>
          <w:bCs/>
          <w:sz w:val="24"/>
          <w:szCs w:val="24"/>
          <w:lang w:val="en-IN"/>
        </w:rPr>
      </w:pPr>
      <w:r w:rsidRPr="00CC5FBA">
        <w:rPr>
          <w:rFonts w:ascii="Times New Roman" w:eastAsia="Times New Roman" w:hAnsi="Times New Roman" w:cs="Times New Roman"/>
          <w:b/>
          <w:bCs/>
          <w:sz w:val="24"/>
          <w:szCs w:val="24"/>
          <w:lang w:val="en-IN"/>
        </w:rPr>
        <w:t>REFERENCES</w:t>
      </w:r>
    </w:p>
    <w:p w14:paraId="3A002D42"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Buchholz, J., Graf, M., &amp; </w:t>
      </w:r>
      <w:proofErr w:type="spellStart"/>
      <w:r w:rsidRPr="00CC5FBA">
        <w:rPr>
          <w:rFonts w:ascii="Times New Roman" w:eastAsia="Times New Roman" w:hAnsi="Times New Roman" w:cs="Times New Roman"/>
          <w:bCs/>
          <w:sz w:val="24"/>
          <w:szCs w:val="24"/>
          <w:lang w:val="en-IN"/>
        </w:rPr>
        <w:t>Takors</w:t>
      </w:r>
      <w:proofErr w:type="spellEnd"/>
      <w:r w:rsidRPr="00CC5FBA">
        <w:rPr>
          <w:rFonts w:ascii="Times New Roman" w:eastAsia="Times New Roman" w:hAnsi="Times New Roman" w:cs="Times New Roman"/>
          <w:bCs/>
          <w:sz w:val="24"/>
          <w:szCs w:val="24"/>
          <w:lang w:val="en-IN"/>
        </w:rPr>
        <w:t xml:space="preserve">, R. (2021). Data-driven bioprocess development: Opportunities and challenges. </w:t>
      </w:r>
      <w:r w:rsidRPr="00CC5FBA">
        <w:rPr>
          <w:rFonts w:ascii="Times New Roman" w:eastAsia="Times New Roman" w:hAnsi="Times New Roman" w:cs="Times New Roman"/>
          <w:bCs/>
          <w:i/>
          <w:iCs/>
          <w:sz w:val="24"/>
          <w:szCs w:val="24"/>
          <w:lang w:val="en-IN"/>
        </w:rPr>
        <w:t>Current Opinion in Biotechnology, 69,</w:t>
      </w:r>
      <w:r w:rsidRPr="00CC5FBA">
        <w:rPr>
          <w:rFonts w:ascii="Times New Roman" w:eastAsia="Times New Roman" w:hAnsi="Times New Roman" w:cs="Times New Roman"/>
          <w:bCs/>
          <w:sz w:val="24"/>
          <w:szCs w:val="24"/>
          <w:lang w:val="en-IN"/>
        </w:rPr>
        <w:t xml:space="preserve"> 182–191. https://doi.org/10.1016/j.copbio.2021.01.010</w:t>
      </w:r>
    </w:p>
    <w:p w14:paraId="33D51A0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lastRenderedPageBreak/>
        <w:t xml:space="preserve">Cereghino, J. L., &amp; Cregg, J. M. (2000). Heterologous protein expression in the methylotrophic yeast </w:t>
      </w:r>
      <w:r w:rsidRPr="00CC5FBA">
        <w:rPr>
          <w:rFonts w:ascii="Times New Roman" w:eastAsia="Times New Roman" w:hAnsi="Times New Roman" w:cs="Times New Roman"/>
          <w:bCs/>
          <w:i/>
          <w:iCs/>
          <w:sz w:val="24"/>
          <w:szCs w:val="24"/>
          <w:lang w:val="en-IN"/>
        </w:rPr>
        <w:t>Pichia pastoris.</w:t>
      </w:r>
      <w:r w:rsidRPr="00CC5FBA">
        <w:rPr>
          <w:rFonts w:ascii="Times New Roman" w:eastAsia="Times New Roman" w:hAnsi="Times New Roman" w:cs="Times New Roman"/>
          <w:bCs/>
          <w:sz w:val="24"/>
          <w:szCs w:val="24"/>
          <w:lang w:val="en-IN"/>
        </w:rPr>
        <w:t xml:space="preserve"> </w:t>
      </w:r>
      <w:r w:rsidRPr="00CC5FBA">
        <w:rPr>
          <w:rFonts w:ascii="Times New Roman" w:eastAsia="Times New Roman" w:hAnsi="Times New Roman" w:cs="Times New Roman"/>
          <w:bCs/>
          <w:i/>
          <w:iCs/>
          <w:sz w:val="24"/>
          <w:szCs w:val="24"/>
          <w:lang w:val="en-IN"/>
        </w:rPr>
        <w:t>FEMS Microbiology Reviews, 24</w:t>
      </w:r>
      <w:r w:rsidRPr="00CC5FBA">
        <w:rPr>
          <w:rFonts w:ascii="Times New Roman" w:eastAsia="Times New Roman" w:hAnsi="Times New Roman" w:cs="Times New Roman"/>
          <w:bCs/>
          <w:sz w:val="24"/>
          <w:szCs w:val="24"/>
          <w:lang w:val="en-IN"/>
        </w:rPr>
        <w:t>(1), 45–66. https://doi.org/10.1111/j.1574-6976.2000.tb00532.x</w:t>
      </w:r>
    </w:p>
    <w:p w14:paraId="1154BC0A"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Doran, P. M. (2013). </w:t>
      </w:r>
      <w:r w:rsidRPr="00CC5FBA">
        <w:rPr>
          <w:rFonts w:ascii="Times New Roman" w:eastAsia="Times New Roman" w:hAnsi="Times New Roman" w:cs="Times New Roman"/>
          <w:bCs/>
          <w:i/>
          <w:iCs/>
          <w:sz w:val="24"/>
          <w:szCs w:val="24"/>
          <w:lang w:val="en-IN"/>
        </w:rPr>
        <w:t>Bioprocess engineering principles</w:t>
      </w:r>
      <w:r w:rsidRPr="00CC5FBA">
        <w:rPr>
          <w:rFonts w:ascii="Times New Roman" w:eastAsia="Times New Roman" w:hAnsi="Times New Roman" w:cs="Times New Roman"/>
          <w:bCs/>
          <w:sz w:val="24"/>
          <w:szCs w:val="24"/>
          <w:lang w:val="en-IN"/>
        </w:rPr>
        <w:t xml:space="preserve"> (2nd ed.). Academic Press.</w:t>
      </w:r>
    </w:p>
    <w:p w14:paraId="7ABE8D4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proofErr w:type="spellStart"/>
      <w:r w:rsidRPr="00CC5FBA">
        <w:rPr>
          <w:rFonts w:ascii="Times New Roman" w:eastAsia="Times New Roman" w:hAnsi="Times New Roman" w:cs="Times New Roman"/>
          <w:bCs/>
          <w:sz w:val="24"/>
          <w:szCs w:val="24"/>
          <w:lang w:val="en-IN"/>
        </w:rPr>
        <w:t>Enfors</w:t>
      </w:r>
      <w:proofErr w:type="spellEnd"/>
      <w:r w:rsidRPr="00CC5FBA">
        <w:rPr>
          <w:rFonts w:ascii="Times New Roman" w:eastAsia="Times New Roman" w:hAnsi="Times New Roman" w:cs="Times New Roman"/>
          <w:bCs/>
          <w:sz w:val="24"/>
          <w:szCs w:val="24"/>
          <w:lang w:val="en-IN"/>
        </w:rPr>
        <w:t xml:space="preserve">, S.-O., Jahic, M., Rozkov, A., Xu, B., Hecker, M., Jürgen, B., Krüger, E., Schweder, T., Hamer, G., O'Beirne, D., Noisommit-Rizzi, N., Reuss, M., Boone, L., Hewitt, C., McFarlane, C., Nienow, A., Kovacs, T., </w:t>
      </w:r>
      <w:proofErr w:type="spellStart"/>
      <w:r w:rsidRPr="00CC5FBA">
        <w:rPr>
          <w:rFonts w:ascii="Times New Roman" w:eastAsia="Times New Roman" w:hAnsi="Times New Roman" w:cs="Times New Roman"/>
          <w:bCs/>
          <w:sz w:val="24"/>
          <w:szCs w:val="24"/>
          <w:lang w:val="en-IN"/>
        </w:rPr>
        <w:t>Trägårdh</w:t>
      </w:r>
      <w:proofErr w:type="spellEnd"/>
      <w:r w:rsidRPr="00CC5FBA">
        <w:rPr>
          <w:rFonts w:ascii="Times New Roman" w:eastAsia="Times New Roman" w:hAnsi="Times New Roman" w:cs="Times New Roman"/>
          <w:bCs/>
          <w:sz w:val="24"/>
          <w:szCs w:val="24"/>
          <w:lang w:val="en-IN"/>
        </w:rPr>
        <w:t xml:space="preserve">, C., Fuchs, L., ... Neubauer, P. (2001). Physiological responses to mixing in large-scale bioreactors. </w:t>
      </w:r>
      <w:r w:rsidRPr="00CC5FBA">
        <w:rPr>
          <w:rFonts w:ascii="Times New Roman" w:eastAsia="Times New Roman" w:hAnsi="Times New Roman" w:cs="Times New Roman"/>
          <w:bCs/>
          <w:i/>
          <w:iCs/>
          <w:sz w:val="24"/>
          <w:szCs w:val="24"/>
          <w:lang w:val="en-IN"/>
        </w:rPr>
        <w:t>Journal of Biotechnology, 85</w:t>
      </w:r>
      <w:r w:rsidRPr="00CC5FBA">
        <w:rPr>
          <w:rFonts w:ascii="Times New Roman" w:eastAsia="Times New Roman" w:hAnsi="Times New Roman" w:cs="Times New Roman"/>
          <w:bCs/>
          <w:sz w:val="24"/>
          <w:szCs w:val="24"/>
          <w:lang w:val="en-IN"/>
        </w:rPr>
        <w:t>(2), 175–185. https://doi.org/10.1016/S0168-1656(00)00365-5</w:t>
      </w:r>
    </w:p>
    <w:p w14:paraId="7B3E6E6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Garcia-Ochoa, F., &amp; Gomez, E. (2009). Bioreactor scale-up and oxygen transfer rate in microbial processes: An overview. </w:t>
      </w:r>
      <w:r w:rsidRPr="00CC5FBA">
        <w:rPr>
          <w:rFonts w:ascii="Times New Roman" w:eastAsia="Times New Roman" w:hAnsi="Times New Roman" w:cs="Times New Roman"/>
          <w:bCs/>
          <w:i/>
          <w:iCs/>
          <w:sz w:val="24"/>
          <w:szCs w:val="24"/>
          <w:lang w:val="en-IN"/>
        </w:rPr>
        <w:t>Biotechnology Advances, 27</w:t>
      </w:r>
      <w:r w:rsidRPr="00CC5FBA">
        <w:rPr>
          <w:rFonts w:ascii="Times New Roman" w:eastAsia="Times New Roman" w:hAnsi="Times New Roman" w:cs="Times New Roman"/>
          <w:bCs/>
          <w:sz w:val="24"/>
          <w:szCs w:val="24"/>
          <w:lang w:val="en-IN"/>
        </w:rPr>
        <w:t>(2), 153–176. https://doi.org/10.1016/j.biotechadv.2008.10.006</w:t>
      </w:r>
    </w:p>
    <w:p w14:paraId="251E334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Garcia-Ochoa, F., Gomez, E., Santos, V. E., &amp; </w:t>
      </w:r>
      <w:proofErr w:type="spellStart"/>
      <w:r w:rsidRPr="00CC5FBA">
        <w:rPr>
          <w:rFonts w:ascii="Times New Roman" w:eastAsia="Times New Roman" w:hAnsi="Times New Roman" w:cs="Times New Roman"/>
          <w:bCs/>
          <w:sz w:val="24"/>
          <w:szCs w:val="24"/>
          <w:lang w:val="en-IN"/>
        </w:rPr>
        <w:t>Merchuk</w:t>
      </w:r>
      <w:proofErr w:type="spellEnd"/>
      <w:r w:rsidRPr="00CC5FBA">
        <w:rPr>
          <w:rFonts w:ascii="Times New Roman" w:eastAsia="Times New Roman" w:hAnsi="Times New Roman" w:cs="Times New Roman"/>
          <w:bCs/>
          <w:sz w:val="24"/>
          <w:szCs w:val="24"/>
          <w:lang w:val="en-IN"/>
        </w:rPr>
        <w:t xml:space="preserve">, J. C. (2010). Oxygen transfer and mixing in bioreactors: Scale-up problems. </w:t>
      </w:r>
      <w:r w:rsidRPr="00CC5FBA">
        <w:rPr>
          <w:rFonts w:ascii="Times New Roman" w:eastAsia="Times New Roman" w:hAnsi="Times New Roman" w:cs="Times New Roman"/>
          <w:bCs/>
          <w:i/>
          <w:iCs/>
          <w:sz w:val="24"/>
          <w:szCs w:val="24"/>
          <w:lang w:val="en-IN"/>
        </w:rPr>
        <w:t>Biotechnology Advances, 28</w:t>
      </w:r>
      <w:r w:rsidRPr="00CC5FBA">
        <w:rPr>
          <w:rFonts w:ascii="Times New Roman" w:eastAsia="Times New Roman" w:hAnsi="Times New Roman" w:cs="Times New Roman"/>
          <w:bCs/>
          <w:sz w:val="24"/>
          <w:szCs w:val="24"/>
          <w:lang w:val="en-IN"/>
        </w:rPr>
        <w:t>(6), 848–861. https://doi.org/10.1016/j.biotechadv.2010.07.006</w:t>
      </w:r>
    </w:p>
    <w:p w14:paraId="12A1AD6B"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Huang, C. J., Lin, H., &amp; Yang, X. (2012). Industrial production of recombinant therapeutics in </w:t>
      </w:r>
      <w:r w:rsidRPr="00CC5FBA">
        <w:rPr>
          <w:rFonts w:ascii="Times New Roman" w:eastAsia="Times New Roman" w:hAnsi="Times New Roman" w:cs="Times New Roman"/>
          <w:bCs/>
          <w:i/>
          <w:iCs/>
          <w:sz w:val="24"/>
          <w:szCs w:val="24"/>
          <w:lang w:val="en-IN"/>
        </w:rPr>
        <w:t>Escherichia coli</w:t>
      </w:r>
      <w:r w:rsidRPr="00CC5FBA">
        <w:rPr>
          <w:rFonts w:ascii="Times New Roman" w:eastAsia="Times New Roman" w:hAnsi="Times New Roman" w:cs="Times New Roman"/>
          <w:bCs/>
          <w:sz w:val="24"/>
          <w:szCs w:val="24"/>
          <w:lang w:val="en-IN"/>
        </w:rPr>
        <w:t xml:space="preserve"> and its recent advancements. </w:t>
      </w:r>
      <w:r w:rsidRPr="00CC5FBA">
        <w:rPr>
          <w:rFonts w:ascii="Times New Roman" w:eastAsia="Times New Roman" w:hAnsi="Times New Roman" w:cs="Times New Roman"/>
          <w:bCs/>
          <w:i/>
          <w:iCs/>
          <w:sz w:val="24"/>
          <w:szCs w:val="24"/>
          <w:lang w:val="en-IN"/>
        </w:rPr>
        <w:t>Journal of Industrial Microbiology and Biotechnology, 39</w:t>
      </w:r>
      <w:r w:rsidRPr="00CC5FBA">
        <w:rPr>
          <w:rFonts w:ascii="Times New Roman" w:eastAsia="Times New Roman" w:hAnsi="Times New Roman" w:cs="Times New Roman"/>
          <w:bCs/>
          <w:sz w:val="24"/>
          <w:szCs w:val="24"/>
          <w:lang w:val="en-IN"/>
        </w:rPr>
        <w:t>(3), 383–399. https://doi.org/10.1007/s10295-011-1082-9</w:t>
      </w:r>
    </w:p>
    <w:p w14:paraId="5F86A30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Jayapal, K. P., Wlaschin, K. F., Hu, W. S., &amp; Yap, M. G. S. (2007). Recombinant protein therapeutics from CHO cells—20 years and counting. </w:t>
      </w:r>
      <w:r w:rsidRPr="00CC5FBA">
        <w:rPr>
          <w:rFonts w:ascii="Times New Roman" w:eastAsia="Times New Roman" w:hAnsi="Times New Roman" w:cs="Times New Roman"/>
          <w:bCs/>
          <w:i/>
          <w:iCs/>
          <w:sz w:val="24"/>
          <w:szCs w:val="24"/>
          <w:lang w:val="en-IN"/>
        </w:rPr>
        <w:t>Chemical Engineering Progress, 103</w:t>
      </w:r>
      <w:r w:rsidRPr="00CC5FBA">
        <w:rPr>
          <w:rFonts w:ascii="Times New Roman" w:eastAsia="Times New Roman" w:hAnsi="Times New Roman" w:cs="Times New Roman"/>
          <w:bCs/>
          <w:sz w:val="24"/>
          <w:szCs w:val="24"/>
          <w:lang w:val="en-IN"/>
        </w:rPr>
        <w:t>(10), 40–47.</w:t>
      </w:r>
    </w:p>
    <w:p w14:paraId="4B2A5156"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Konstantinov, K. B., &amp; Cooney, C. L. (2015). White paper on continuous bioprocessing. </w:t>
      </w:r>
      <w:r w:rsidRPr="00CC5FBA">
        <w:rPr>
          <w:rFonts w:ascii="Times New Roman" w:eastAsia="Times New Roman" w:hAnsi="Times New Roman" w:cs="Times New Roman"/>
          <w:bCs/>
          <w:i/>
          <w:iCs/>
          <w:sz w:val="24"/>
          <w:szCs w:val="24"/>
          <w:lang w:val="en-IN"/>
        </w:rPr>
        <w:t>Journal of Pharmaceutical Sciences, 104</w:t>
      </w:r>
      <w:r w:rsidRPr="00CC5FBA">
        <w:rPr>
          <w:rFonts w:ascii="Times New Roman" w:eastAsia="Times New Roman" w:hAnsi="Times New Roman" w:cs="Times New Roman"/>
          <w:bCs/>
          <w:sz w:val="24"/>
          <w:szCs w:val="24"/>
          <w:lang w:val="en-IN"/>
        </w:rPr>
        <w:t>(3), 813–820. https://doi.org/10.1002/jps.24205</w:t>
      </w:r>
    </w:p>
    <w:p w14:paraId="317F36B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Lara, A. R., Galindo, E., Ramírez, O. T., &amp; Palomares, L. A. (2019). Understanding metabolic control in recombinant protein production in </w:t>
      </w:r>
      <w:r w:rsidRPr="00CC5FBA">
        <w:rPr>
          <w:rFonts w:ascii="Times New Roman" w:eastAsia="Times New Roman" w:hAnsi="Times New Roman" w:cs="Times New Roman"/>
          <w:bCs/>
          <w:i/>
          <w:iCs/>
          <w:sz w:val="24"/>
          <w:szCs w:val="24"/>
          <w:lang w:val="en-IN"/>
        </w:rPr>
        <w:t>Escherichia coli.</w:t>
      </w:r>
      <w:r w:rsidRPr="00CC5FBA">
        <w:rPr>
          <w:rFonts w:ascii="Times New Roman" w:eastAsia="Times New Roman" w:hAnsi="Times New Roman" w:cs="Times New Roman"/>
          <w:bCs/>
          <w:sz w:val="24"/>
          <w:szCs w:val="24"/>
          <w:lang w:val="en-IN"/>
        </w:rPr>
        <w:t xml:space="preserve"> </w:t>
      </w:r>
      <w:r w:rsidRPr="00CC5FBA">
        <w:rPr>
          <w:rFonts w:ascii="Times New Roman" w:eastAsia="Times New Roman" w:hAnsi="Times New Roman" w:cs="Times New Roman"/>
          <w:bCs/>
          <w:i/>
          <w:iCs/>
          <w:sz w:val="24"/>
          <w:szCs w:val="24"/>
          <w:lang w:val="en-IN"/>
        </w:rPr>
        <w:t>Microbial Cell Factories, 18</w:t>
      </w:r>
      <w:r w:rsidRPr="00CC5FBA">
        <w:rPr>
          <w:rFonts w:ascii="Times New Roman" w:eastAsia="Times New Roman" w:hAnsi="Times New Roman" w:cs="Times New Roman"/>
          <w:bCs/>
          <w:sz w:val="24"/>
          <w:szCs w:val="24"/>
          <w:lang w:val="en-IN"/>
        </w:rPr>
        <w:t>(1), 208. https://doi.org/10.1186/s12934-019-1242-7</w:t>
      </w:r>
    </w:p>
    <w:p w14:paraId="7864037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Li, M., Zhao, J., Zhang, C., &amp; Wang, J. (2019). Computational fluid dynamics in bioprocess engineering: Recent advances and </w:t>
      </w:r>
      <w:proofErr w:type="gramStart"/>
      <w:r w:rsidRPr="00CC5FBA">
        <w:rPr>
          <w:rFonts w:ascii="Times New Roman" w:eastAsia="Times New Roman" w:hAnsi="Times New Roman" w:cs="Times New Roman"/>
          <w:bCs/>
          <w:sz w:val="24"/>
          <w:szCs w:val="24"/>
          <w:lang w:val="en-IN"/>
        </w:rPr>
        <w:t>future prospects</w:t>
      </w:r>
      <w:proofErr w:type="gramEnd"/>
      <w:r w:rsidRPr="00CC5FBA">
        <w:rPr>
          <w:rFonts w:ascii="Times New Roman" w:eastAsia="Times New Roman" w:hAnsi="Times New Roman" w:cs="Times New Roman"/>
          <w:bCs/>
          <w:sz w:val="24"/>
          <w:szCs w:val="24"/>
          <w:lang w:val="en-IN"/>
        </w:rPr>
        <w:t xml:space="preserve">. </w:t>
      </w:r>
      <w:r w:rsidRPr="00CC5FBA">
        <w:rPr>
          <w:rFonts w:ascii="Times New Roman" w:eastAsia="Times New Roman" w:hAnsi="Times New Roman" w:cs="Times New Roman"/>
          <w:bCs/>
          <w:i/>
          <w:iCs/>
          <w:sz w:val="24"/>
          <w:szCs w:val="24"/>
          <w:lang w:val="en-IN"/>
        </w:rPr>
        <w:t>Biochemical Engineering Journal, 148,</w:t>
      </w:r>
      <w:r w:rsidRPr="00CC5FBA">
        <w:rPr>
          <w:rFonts w:ascii="Times New Roman" w:eastAsia="Times New Roman" w:hAnsi="Times New Roman" w:cs="Times New Roman"/>
          <w:bCs/>
          <w:sz w:val="24"/>
          <w:szCs w:val="24"/>
          <w:lang w:val="en-IN"/>
        </w:rPr>
        <w:t xml:space="preserve"> 49–62. https://doi.org/10.1016/j.bej.2019.05.013</w:t>
      </w:r>
    </w:p>
    <w:p w14:paraId="2FE4FFE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Lopes, M., Rathore, A. S., &amp; Titchener-Hooker, N. (2023). Artificial intelligence in upstream bioprocessing: From prediction to optimization. </w:t>
      </w:r>
      <w:r w:rsidRPr="00CC5FBA">
        <w:rPr>
          <w:rFonts w:ascii="Times New Roman" w:eastAsia="Times New Roman" w:hAnsi="Times New Roman" w:cs="Times New Roman"/>
          <w:bCs/>
          <w:i/>
          <w:iCs/>
          <w:sz w:val="24"/>
          <w:szCs w:val="24"/>
          <w:lang w:val="en-IN"/>
        </w:rPr>
        <w:t>Trends in Biotechnology, 41</w:t>
      </w:r>
      <w:r w:rsidRPr="00CC5FBA">
        <w:rPr>
          <w:rFonts w:ascii="Times New Roman" w:eastAsia="Times New Roman" w:hAnsi="Times New Roman" w:cs="Times New Roman"/>
          <w:bCs/>
          <w:sz w:val="24"/>
          <w:szCs w:val="24"/>
          <w:lang w:val="en-IN"/>
        </w:rPr>
        <w:t>(5), 598–611. https://doi.org/10.1016/j.tibtech.2023.01.005</w:t>
      </w:r>
    </w:p>
    <w:p w14:paraId="7F39686D"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Mandenius, C.-F., &amp; Gustavsson, R. (2015). Quality monitoring and control of bioprocesses using multivariate data analysis and soft sensors. </w:t>
      </w:r>
      <w:r w:rsidRPr="00CC5FBA">
        <w:rPr>
          <w:rFonts w:ascii="Times New Roman" w:eastAsia="Times New Roman" w:hAnsi="Times New Roman" w:cs="Times New Roman"/>
          <w:bCs/>
          <w:i/>
          <w:iCs/>
          <w:sz w:val="24"/>
          <w:szCs w:val="24"/>
          <w:lang w:val="en-IN"/>
        </w:rPr>
        <w:t>Journal of Biotechnology, 213,</w:t>
      </w:r>
      <w:r w:rsidRPr="00CC5FBA">
        <w:rPr>
          <w:rFonts w:ascii="Times New Roman" w:eastAsia="Times New Roman" w:hAnsi="Times New Roman" w:cs="Times New Roman"/>
          <w:bCs/>
          <w:sz w:val="24"/>
          <w:szCs w:val="24"/>
          <w:lang w:val="en-IN"/>
        </w:rPr>
        <w:t xml:space="preserve"> 1–10. https://doi.org/10.1016/j.jbiotec.2015.06.380</w:t>
      </w:r>
    </w:p>
    <w:p w14:paraId="586809F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lastRenderedPageBreak/>
        <w:t xml:space="preserve">Rathore, A. S. (2009). Roadmap for implementation of process analytical technology (PAT) tools in bioprocesses. </w:t>
      </w:r>
      <w:r w:rsidRPr="00CC5FBA">
        <w:rPr>
          <w:rFonts w:ascii="Times New Roman" w:eastAsia="Times New Roman" w:hAnsi="Times New Roman" w:cs="Times New Roman"/>
          <w:bCs/>
          <w:i/>
          <w:iCs/>
          <w:sz w:val="24"/>
          <w:szCs w:val="24"/>
          <w:lang w:val="en-IN"/>
        </w:rPr>
        <w:t>Trends in Biotechnology, 27</w:t>
      </w:r>
      <w:r w:rsidRPr="00CC5FBA">
        <w:rPr>
          <w:rFonts w:ascii="Times New Roman" w:eastAsia="Times New Roman" w:hAnsi="Times New Roman" w:cs="Times New Roman"/>
          <w:bCs/>
          <w:sz w:val="24"/>
          <w:szCs w:val="24"/>
          <w:lang w:val="en-IN"/>
        </w:rPr>
        <w:t>(8), 476–484. https://doi.org/10.1016/j.tibtech.2009.05.001</w:t>
      </w:r>
    </w:p>
    <w:p w14:paraId="2A52559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Rathore, A. S., Kapoor, G., &amp; Mhatre, R. (2022). Process analytical technology in biopharmaceutical manufacturing: Advances and implementation. </w:t>
      </w:r>
      <w:r w:rsidRPr="00CC5FBA">
        <w:rPr>
          <w:rFonts w:ascii="Times New Roman" w:eastAsia="Times New Roman" w:hAnsi="Times New Roman" w:cs="Times New Roman"/>
          <w:bCs/>
          <w:i/>
          <w:iCs/>
          <w:sz w:val="24"/>
          <w:szCs w:val="24"/>
          <w:lang w:val="en-IN"/>
        </w:rPr>
        <w:t>Biotechnology Advances, 58,</w:t>
      </w:r>
      <w:r w:rsidRPr="00CC5FBA">
        <w:rPr>
          <w:rFonts w:ascii="Times New Roman" w:eastAsia="Times New Roman" w:hAnsi="Times New Roman" w:cs="Times New Roman"/>
          <w:bCs/>
          <w:sz w:val="24"/>
          <w:szCs w:val="24"/>
          <w:lang w:val="en-IN"/>
        </w:rPr>
        <w:t xml:space="preserve"> 107909. https://doi.org/10.1016/j.biotechadv.2022.107909</w:t>
      </w:r>
    </w:p>
    <w:p w14:paraId="33A96E8C"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Rosano, G. L., &amp; Ceccarelli, E. A. (2014). Recombinant protein expression in </w:t>
      </w:r>
      <w:r w:rsidRPr="00CC5FBA">
        <w:rPr>
          <w:rFonts w:ascii="Times New Roman" w:eastAsia="Times New Roman" w:hAnsi="Times New Roman" w:cs="Times New Roman"/>
          <w:bCs/>
          <w:i/>
          <w:iCs/>
          <w:sz w:val="24"/>
          <w:szCs w:val="24"/>
          <w:lang w:val="en-IN"/>
        </w:rPr>
        <w:t>Escherichia coli</w:t>
      </w:r>
      <w:r w:rsidRPr="00CC5FBA">
        <w:rPr>
          <w:rFonts w:ascii="Times New Roman" w:eastAsia="Times New Roman" w:hAnsi="Times New Roman" w:cs="Times New Roman"/>
          <w:bCs/>
          <w:sz w:val="24"/>
          <w:szCs w:val="24"/>
          <w:lang w:val="en-IN"/>
        </w:rPr>
        <w:t xml:space="preserve">: Advances and challenges. </w:t>
      </w:r>
      <w:r w:rsidRPr="00CC5FBA">
        <w:rPr>
          <w:rFonts w:ascii="Times New Roman" w:eastAsia="Times New Roman" w:hAnsi="Times New Roman" w:cs="Times New Roman"/>
          <w:bCs/>
          <w:i/>
          <w:iCs/>
          <w:sz w:val="24"/>
          <w:szCs w:val="24"/>
          <w:lang w:val="en-IN"/>
        </w:rPr>
        <w:t>Frontiers in Microbiology, 5,</w:t>
      </w:r>
      <w:r w:rsidRPr="00CC5FBA">
        <w:rPr>
          <w:rFonts w:ascii="Times New Roman" w:eastAsia="Times New Roman" w:hAnsi="Times New Roman" w:cs="Times New Roman"/>
          <w:bCs/>
          <w:sz w:val="24"/>
          <w:szCs w:val="24"/>
          <w:lang w:val="en-IN"/>
        </w:rPr>
        <w:t xml:space="preserve"> 172. https://doi.org/10.3389/fmicb.2014.00172</w:t>
      </w:r>
    </w:p>
    <w:p w14:paraId="0602C6A8"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Sarkar, D., Papoutsakis, E. T., &amp; Valgepea, K. (2016). Nutrient optimization for high-cell-density fermentation. </w:t>
      </w:r>
      <w:r w:rsidRPr="00CC5FBA">
        <w:rPr>
          <w:rFonts w:ascii="Times New Roman" w:eastAsia="Times New Roman" w:hAnsi="Times New Roman" w:cs="Times New Roman"/>
          <w:bCs/>
          <w:i/>
          <w:iCs/>
          <w:sz w:val="24"/>
          <w:szCs w:val="24"/>
          <w:lang w:val="en-IN"/>
        </w:rPr>
        <w:t>Trends in Microbiology, 24</w:t>
      </w:r>
      <w:r w:rsidRPr="00CC5FBA">
        <w:rPr>
          <w:rFonts w:ascii="Times New Roman" w:eastAsia="Times New Roman" w:hAnsi="Times New Roman" w:cs="Times New Roman"/>
          <w:bCs/>
          <w:sz w:val="24"/>
          <w:szCs w:val="24"/>
          <w:lang w:val="en-IN"/>
        </w:rPr>
        <w:t>(12), 1035–1047. https://doi.org/10.1016/j.tim.2016.08.004</w:t>
      </w:r>
    </w:p>
    <w:p w14:paraId="338BCDAF"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Schenk, J., Marison, I. W., &amp; von </w:t>
      </w:r>
      <w:proofErr w:type="spellStart"/>
      <w:r w:rsidRPr="00CC5FBA">
        <w:rPr>
          <w:rFonts w:ascii="Times New Roman" w:eastAsia="Times New Roman" w:hAnsi="Times New Roman" w:cs="Times New Roman"/>
          <w:bCs/>
          <w:sz w:val="24"/>
          <w:szCs w:val="24"/>
          <w:lang w:val="en-IN"/>
        </w:rPr>
        <w:t>Stockar</w:t>
      </w:r>
      <w:proofErr w:type="spellEnd"/>
      <w:r w:rsidRPr="00CC5FBA">
        <w:rPr>
          <w:rFonts w:ascii="Times New Roman" w:eastAsia="Times New Roman" w:hAnsi="Times New Roman" w:cs="Times New Roman"/>
          <w:bCs/>
          <w:sz w:val="24"/>
          <w:szCs w:val="24"/>
          <w:lang w:val="en-IN"/>
        </w:rPr>
        <w:t xml:space="preserve">, U. (2015). Integrated bioprocess automation: Strategies for improved productivity. </w:t>
      </w:r>
      <w:r w:rsidRPr="00CC5FBA">
        <w:rPr>
          <w:rFonts w:ascii="Times New Roman" w:eastAsia="Times New Roman" w:hAnsi="Times New Roman" w:cs="Times New Roman"/>
          <w:bCs/>
          <w:i/>
          <w:iCs/>
          <w:sz w:val="24"/>
          <w:szCs w:val="24"/>
          <w:lang w:val="en-IN"/>
        </w:rPr>
        <w:t>Bioprocess and Biosystems Engineering, 38</w:t>
      </w:r>
      <w:r w:rsidRPr="00CC5FBA">
        <w:rPr>
          <w:rFonts w:ascii="Times New Roman" w:eastAsia="Times New Roman" w:hAnsi="Times New Roman" w:cs="Times New Roman"/>
          <w:bCs/>
          <w:sz w:val="24"/>
          <w:szCs w:val="24"/>
          <w:lang w:val="en-IN"/>
        </w:rPr>
        <w:t>(10), 1881–1893. https://doi.org/10.1007/s00449-015-1432-4</w:t>
      </w:r>
    </w:p>
    <w:p w14:paraId="155E8453"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Shuler, M. L., &amp; Kargi, F. (2017). </w:t>
      </w:r>
      <w:r w:rsidRPr="00CC5FBA">
        <w:rPr>
          <w:rFonts w:ascii="Times New Roman" w:eastAsia="Times New Roman" w:hAnsi="Times New Roman" w:cs="Times New Roman"/>
          <w:bCs/>
          <w:i/>
          <w:iCs/>
          <w:sz w:val="24"/>
          <w:szCs w:val="24"/>
          <w:lang w:val="en-IN"/>
        </w:rPr>
        <w:t>Bioprocess engineering: Basic concepts</w:t>
      </w:r>
      <w:r w:rsidRPr="00CC5FBA">
        <w:rPr>
          <w:rFonts w:ascii="Times New Roman" w:eastAsia="Times New Roman" w:hAnsi="Times New Roman" w:cs="Times New Roman"/>
          <w:bCs/>
          <w:sz w:val="24"/>
          <w:szCs w:val="24"/>
          <w:lang w:val="en-IN"/>
        </w:rPr>
        <w:t xml:space="preserve"> (3rd ed.). Pearson Education.</w:t>
      </w:r>
    </w:p>
    <w:p w14:paraId="66071E2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Stanbury, P. F., Whitaker, A., &amp; Hall, S. J. (2017). </w:t>
      </w:r>
      <w:r w:rsidRPr="00CC5FBA">
        <w:rPr>
          <w:rFonts w:ascii="Times New Roman" w:eastAsia="Times New Roman" w:hAnsi="Times New Roman" w:cs="Times New Roman"/>
          <w:bCs/>
          <w:i/>
          <w:iCs/>
          <w:sz w:val="24"/>
          <w:szCs w:val="24"/>
          <w:lang w:val="en-IN"/>
        </w:rPr>
        <w:t>Principles of fermentation technology</w:t>
      </w:r>
      <w:r w:rsidRPr="00CC5FBA">
        <w:rPr>
          <w:rFonts w:ascii="Times New Roman" w:eastAsia="Times New Roman" w:hAnsi="Times New Roman" w:cs="Times New Roman"/>
          <w:bCs/>
          <w:sz w:val="24"/>
          <w:szCs w:val="24"/>
          <w:lang w:val="en-IN"/>
        </w:rPr>
        <w:t xml:space="preserve"> (3rd ed.). Elsevier.</w:t>
      </w:r>
    </w:p>
    <w:p w14:paraId="3A1C61E9"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Valgepea, K., </w:t>
      </w:r>
      <w:proofErr w:type="spellStart"/>
      <w:r w:rsidRPr="00CC5FBA">
        <w:rPr>
          <w:rFonts w:ascii="Times New Roman" w:eastAsia="Times New Roman" w:hAnsi="Times New Roman" w:cs="Times New Roman"/>
          <w:bCs/>
          <w:sz w:val="24"/>
          <w:szCs w:val="24"/>
          <w:lang w:val="en-IN"/>
        </w:rPr>
        <w:t>Adamberg</w:t>
      </w:r>
      <w:proofErr w:type="spellEnd"/>
      <w:r w:rsidRPr="00CC5FBA">
        <w:rPr>
          <w:rFonts w:ascii="Times New Roman" w:eastAsia="Times New Roman" w:hAnsi="Times New Roman" w:cs="Times New Roman"/>
          <w:bCs/>
          <w:sz w:val="24"/>
          <w:szCs w:val="24"/>
          <w:lang w:val="en-IN"/>
        </w:rPr>
        <w:t xml:space="preserve">, K., </w:t>
      </w:r>
      <w:proofErr w:type="spellStart"/>
      <w:r w:rsidRPr="00CC5FBA">
        <w:rPr>
          <w:rFonts w:ascii="Times New Roman" w:eastAsia="Times New Roman" w:hAnsi="Times New Roman" w:cs="Times New Roman"/>
          <w:bCs/>
          <w:sz w:val="24"/>
          <w:szCs w:val="24"/>
          <w:lang w:val="en-IN"/>
        </w:rPr>
        <w:t>Nahku</w:t>
      </w:r>
      <w:proofErr w:type="spellEnd"/>
      <w:r w:rsidRPr="00CC5FBA">
        <w:rPr>
          <w:rFonts w:ascii="Times New Roman" w:eastAsia="Times New Roman" w:hAnsi="Times New Roman" w:cs="Times New Roman"/>
          <w:bCs/>
          <w:sz w:val="24"/>
          <w:szCs w:val="24"/>
          <w:lang w:val="en-IN"/>
        </w:rPr>
        <w:t xml:space="preserve">, R., </w:t>
      </w:r>
      <w:proofErr w:type="spellStart"/>
      <w:r w:rsidRPr="00CC5FBA">
        <w:rPr>
          <w:rFonts w:ascii="Times New Roman" w:eastAsia="Times New Roman" w:hAnsi="Times New Roman" w:cs="Times New Roman"/>
          <w:bCs/>
          <w:sz w:val="24"/>
          <w:szCs w:val="24"/>
          <w:lang w:val="en-IN"/>
        </w:rPr>
        <w:t>Lahtvee</w:t>
      </w:r>
      <w:proofErr w:type="spellEnd"/>
      <w:r w:rsidRPr="00CC5FBA">
        <w:rPr>
          <w:rFonts w:ascii="Times New Roman" w:eastAsia="Times New Roman" w:hAnsi="Times New Roman" w:cs="Times New Roman"/>
          <w:bCs/>
          <w:sz w:val="24"/>
          <w:szCs w:val="24"/>
          <w:lang w:val="en-IN"/>
        </w:rPr>
        <w:t xml:space="preserve">, P. J., Arike, L., &amp; Vilu, R. (2017). Maintenance of high glycolytic flux in </w:t>
      </w:r>
      <w:r w:rsidRPr="00CC5FBA">
        <w:rPr>
          <w:rFonts w:ascii="Times New Roman" w:eastAsia="Times New Roman" w:hAnsi="Times New Roman" w:cs="Times New Roman"/>
          <w:bCs/>
          <w:i/>
          <w:iCs/>
          <w:sz w:val="24"/>
          <w:szCs w:val="24"/>
          <w:lang w:val="en-IN"/>
        </w:rPr>
        <w:t>E. coli</w:t>
      </w:r>
      <w:r w:rsidRPr="00CC5FBA">
        <w:rPr>
          <w:rFonts w:ascii="Times New Roman" w:eastAsia="Times New Roman" w:hAnsi="Times New Roman" w:cs="Times New Roman"/>
          <w:bCs/>
          <w:sz w:val="24"/>
          <w:szCs w:val="24"/>
          <w:lang w:val="en-IN"/>
        </w:rPr>
        <w:t xml:space="preserve"> through carbon-limited feeding strategies. </w:t>
      </w:r>
      <w:r w:rsidRPr="00CC5FBA">
        <w:rPr>
          <w:rFonts w:ascii="Times New Roman" w:eastAsia="Times New Roman" w:hAnsi="Times New Roman" w:cs="Times New Roman"/>
          <w:bCs/>
          <w:i/>
          <w:iCs/>
          <w:sz w:val="24"/>
          <w:szCs w:val="24"/>
          <w:lang w:val="en-IN"/>
        </w:rPr>
        <w:t>Microbial Cell Factories, 16</w:t>
      </w:r>
      <w:r w:rsidRPr="00CC5FBA">
        <w:rPr>
          <w:rFonts w:ascii="Times New Roman" w:eastAsia="Times New Roman" w:hAnsi="Times New Roman" w:cs="Times New Roman"/>
          <w:bCs/>
          <w:sz w:val="24"/>
          <w:szCs w:val="24"/>
          <w:lang w:val="en-IN"/>
        </w:rPr>
        <w:t>(1), 80. https://doi.org/10.1186/s12934-017-0695-6</w:t>
      </w:r>
    </w:p>
    <w:p w14:paraId="6DE4F3C5"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Walsh, G. (2018). Biopharmaceutical benchmarks 2018. </w:t>
      </w:r>
      <w:r w:rsidRPr="00CC5FBA">
        <w:rPr>
          <w:rFonts w:ascii="Times New Roman" w:eastAsia="Times New Roman" w:hAnsi="Times New Roman" w:cs="Times New Roman"/>
          <w:bCs/>
          <w:i/>
          <w:iCs/>
          <w:sz w:val="24"/>
          <w:szCs w:val="24"/>
          <w:lang w:val="en-IN"/>
        </w:rPr>
        <w:t>Nature Biotechnology, 36</w:t>
      </w:r>
      <w:r w:rsidRPr="00CC5FBA">
        <w:rPr>
          <w:rFonts w:ascii="Times New Roman" w:eastAsia="Times New Roman" w:hAnsi="Times New Roman" w:cs="Times New Roman"/>
          <w:bCs/>
          <w:sz w:val="24"/>
          <w:szCs w:val="24"/>
          <w:lang w:val="en-IN"/>
        </w:rPr>
        <w:t>(12), 1136–1145. https://doi.org/10.1038/nbt.4305</w:t>
      </w:r>
    </w:p>
    <w:p w14:paraId="0368BB64"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r w:rsidRPr="00CC5FBA">
        <w:rPr>
          <w:rFonts w:ascii="Times New Roman" w:eastAsia="Times New Roman" w:hAnsi="Times New Roman" w:cs="Times New Roman"/>
          <w:bCs/>
          <w:sz w:val="24"/>
          <w:szCs w:val="24"/>
          <w:lang w:val="en-IN"/>
        </w:rPr>
        <w:t xml:space="preserve">Wurm, F. M., &amp; Hacker, D. L. (2011). First CHO genome. </w:t>
      </w:r>
      <w:r w:rsidRPr="00CC5FBA">
        <w:rPr>
          <w:rFonts w:ascii="Times New Roman" w:eastAsia="Times New Roman" w:hAnsi="Times New Roman" w:cs="Times New Roman"/>
          <w:bCs/>
          <w:i/>
          <w:iCs/>
          <w:sz w:val="24"/>
          <w:szCs w:val="24"/>
          <w:lang w:val="en-IN"/>
        </w:rPr>
        <w:t>Nature Biotechnology, 29</w:t>
      </w:r>
      <w:r w:rsidRPr="00CC5FBA">
        <w:rPr>
          <w:rFonts w:ascii="Times New Roman" w:eastAsia="Times New Roman" w:hAnsi="Times New Roman" w:cs="Times New Roman"/>
          <w:bCs/>
          <w:sz w:val="24"/>
          <w:szCs w:val="24"/>
          <w:lang w:val="en-IN"/>
        </w:rPr>
        <w:t>(8), 718–720. https://doi.org/10.1038/nbt.1945</w:t>
      </w:r>
    </w:p>
    <w:p w14:paraId="63E99151" w14:textId="77777777" w:rsidR="00CC5FBA" w:rsidRPr="00CC5FBA" w:rsidRDefault="00CC5FBA" w:rsidP="00CC5FBA">
      <w:pPr>
        <w:spacing w:after="160" w:line="259" w:lineRule="auto"/>
        <w:rPr>
          <w:rFonts w:ascii="Times New Roman" w:eastAsia="Times New Roman" w:hAnsi="Times New Roman" w:cs="Times New Roman"/>
          <w:bCs/>
          <w:sz w:val="24"/>
          <w:szCs w:val="24"/>
          <w:lang w:val="en-IN"/>
        </w:rPr>
      </w:pPr>
      <w:proofErr w:type="spellStart"/>
      <w:r w:rsidRPr="00CC5FBA">
        <w:rPr>
          <w:rFonts w:ascii="Times New Roman" w:eastAsia="Times New Roman" w:hAnsi="Times New Roman" w:cs="Times New Roman"/>
          <w:bCs/>
          <w:sz w:val="24"/>
          <w:szCs w:val="24"/>
          <w:lang w:val="en-IN"/>
        </w:rPr>
        <w:t>Yamanè</w:t>
      </w:r>
      <w:proofErr w:type="spellEnd"/>
      <w:r w:rsidRPr="00CC5FBA">
        <w:rPr>
          <w:rFonts w:ascii="Times New Roman" w:eastAsia="Times New Roman" w:hAnsi="Times New Roman" w:cs="Times New Roman"/>
          <w:bCs/>
          <w:sz w:val="24"/>
          <w:szCs w:val="24"/>
          <w:lang w:val="en-IN"/>
        </w:rPr>
        <w:t xml:space="preserve">, T., &amp; Shimizu, S. (1984). Fed-batch techniques in microbial processes. </w:t>
      </w:r>
      <w:r w:rsidRPr="00CC5FBA">
        <w:rPr>
          <w:rFonts w:ascii="Times New Roman" w:eastAsia="Times New Roman" w:hAnsi="Times New Roman" w:cs="Times New Roman"/>
          <w:bCs/>
          <w:i/>
          <w:iCs/>
          <w:sz w:val="24"/>
          <w:szCs w:val="24"/>
          <w:lang w:val="en-IN"/>
        </w:rPr>
        <w:t>Advances in Biochemical Engineering/Biotechnology, 30,</w:t>
      </w:r>
      <w:r w:rsidRPr="00CC5FBA">
        <w:rPr>
          <w:rFonts w:ascii="Times New Roman" w:eastAsia="Times New Roman" w:hAnsi="Times New Roman" w:cs="Times New Roman"/>
          <w:bCs/>
          <w:sz w:val="24"/>
          <w:szCs w:val="24"/>
          <w:lang w:val="en-IN"/>
        </w:rPr>
        <w:t xml:space="preserve"> 147–194. https://doi.org/</w:t>
      </w:r>
    </w:p>
    <w:p w14:paraId="5520E4B8" w14:textId="77777777" w:rsidR="002D0EFD" w:rsidRPr="008734F8" w:rsidRDefault="002D0EFD" w:rsidP="008734F8">
      <w:pPr>
        <w:spacing w:after="160" w:line="259" w:lineRule="auto"/>
        <w:rPr>
          <w:rFonts w:ascii="Times New Roman" w:eastAsia="Times New Roman" w:hAnsi="Times New Roman" w:cs="Times New Roman"/>
          <w:bCs/>
          <w:sz w:val="24"/>
          <w:szCs w:val="24"/>
        </w:rPr>
      </w:pPr>
    </w:p>
    <w:p w14:paraId="69F34D58" w14:textId="77777777" w:rsidR="002D0EFD" w:rsidRPr="008734F8" w:rsidRDefault="002D0EFD" w:rsidP="008734F8">
      <w:pPr>
        <w:spacing w:after="160" w:line="259" w:lineRule="auto"/>
        <w:rPr>
          <w:rFonts w:ascii="Times New Roman" w:eastAsia="Times New Roman" w:hAnsi="Times New Roman" w:cs="Times New Roman"/>
          <w:bCs/>
          <w:sz w:val="24"/>
          <w:szCs w:val="24"/>
        </w:rPr>
      </w:pPr>
    </w:p>
    <w:p w14:paraId="35EB1564" w14:textId="605E67C5" w:rsidR="002D0EFD" w:rsidRPr="008734F8" w:rsidRDefault="002D0EFD" w:rsidP="008734F8">
      <w:pPr>
        <w:spacing w:after="160" w:line="259" w:lineRule="auto"/>
        <w:rPr>
          <w:rFonts w:ascii="Times New Roman" w:eastAsia="Times New Roman" w:hAnsi="Times New Roman" w:cs="Times New Roman"/>
          <w:bCs/>
          <w:sz w:val="24"/>
          <w:szCs w:val="24"/>
        </w:rPr>
      </w:pPr>
    </w:p>
    <w:sectPr w:rsidR="002D0EFD" w:rsidRPr="008734F8">
      <w:pgSz w:w="12240" w:h="15840"/>
      <w:pgMar w:top="1440" w:right="1440" w:bottom="1440" w:left="179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1B6"/>
    <w:multiLevelType w:val="multilevel"/>
    <w:tmpl w:val="CD7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7F90"/>
    <w:multiLevelType w:val="multilevel"/>
    <w:tmpl w:val="FB1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E28"/>
    <w:multiLevelType w:val="multilevel"/>
    <w:tmpl w:val="7CE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2F88"/>
    <w:multiLevelType w:val="multilevel"/>
    <w:tmpl w:val="5E96F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F511D13"/>
    <w:multiLevelType w:val="multilevel"/>
    <w:tmpl w:val="11986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5392A72"/>
    <w:multiLevelType w:val="multilevel"/>
    <w:tmpl w:val="04464F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653F5"/>
    <w:multiLevelType w:val="multilevel"/>
    <w:tmpl w:val="50006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0F2CD9"/>
    <w:multiLevelType w:val="multilevel"/>
    <w:tmpl w:val="549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71DFE"/>
    <w:multiLevelType w:val="multilevel"/>
    <w:tmpl w:val="807233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A505C4F"/>
    <w:multiLevelType w:val="multilevel"/>
    <w:tmpl w:val="156A0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D4C49"/>
    <w:multiLevelType w:val="multilevel"/>
    <w:tmpl w:val="963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1727F"/>
    <w:multiLevelType w:val="multilevel"/>
    <w:tmpl w:val="8CA8B5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18E766B"/>
    <w:multiLevelType w:val="multilevel"/>
    <w:tmpl w:val="746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D1766"/>
    <w:multiLevelType w:val="multilevel"/>
    <w:tmpl w:val="ADFE9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637517"/>
    <w:multiLevelType w:val="multilevel"/>
    <w:tmpl w:val="9EC8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53553A"/>
    <w:multiLevelType w:val="hybridMultilevel"/>
    <w:tmpl w:val="CEDA0ECC"/>
    <w:lvl w:ilvl="0" w:tplc="13865E6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1C7770"/>
    <w:multiLevelType w:val="multilevel"/>
    <w:tmpl w:val="C2EA2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7566874"/>
    <w:multiLevelType w:val="multilevel"/>
    <w:tmpl w:val="156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94F4A"/>
    <w:multiLevelType w:val="multilevel"/>
    <w:tmpl w:val="11986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54585519">
    <w:abstractNumId w:val="16"/>
  </w:num>
  <w:num w:numId="2" w16cid:durableId="409809761">
    <w:abstractNumId w:val="8"/>
  </w:num>
  <w:num w:numId="3" w16cid:durableId="521625903">
    <w:abstractNumId w:val="18"/>
  </w:num>
  <w:num w:numId="4" w16cid:durableId="415708235">
    <w:abstractNumId w:val="13"/>
  </w:num>
  <w:num w:numId="5" w16cid:durableId="852256882">
    <w:abstractNumId w:val="5"/>
  </w:num>
  <w:num w:numId="6" w16cid:durableId="974414225">
    <w:abstractNumId w:val="3"/>
  </w:num>
  <w:num w:numId="7" w16cid:durableId="1289048418">
    <w:abstractNumId w:val="11"/>
  </w:num>
  <w:num w:numId="8" w16cid:durableId="755252576">
    <w:abstractNumId w:val="6"/>
  </w:num>
  <w:num w:numId="9" w16cid:durableId="988170855">
    <w:abstractNumId w:val="4"/>
  </w:num>
  <w:num w:numId="10" w16cid:durableId="1623655714">
    <w:abstractNumId w:val="15"/>
  </w:num>
  <w:num w:numId="11" w16cid:durableId="366485858">
    <w:abstractNumId w:val="9"/>
  </w:num>
  <w:num w:numId="12" w16cid:durableId="692267231">
    <w:abstractNumId w:val="14"/>
  </w:num>
  <w:num w:numId="13" w16cid:durableId="1903904141">
    <w:abstractNumId w:val="7"/>
  </w:num>
  <w:num w:numId="14" w16cid:durableId="789667671">
    <w:abstractNumId w:val="0"/>
  </w:num>
  <w:num w:numId="15" w16cid:durableId="342824193">
    <w:abstractNumId w:val="12"/>
  </w:num>
  <w:num w:numId="16" w16cid:durableId="222450905">
    <w:abstractNumId w:val="2"/>
  </w:num>
  <w:num w:numId="17" w16cid:durableId="1575435704">
    <w:abstractNumId w:val="10"/>
  </w:num>
  <w:num w:numId="18" w16cid:durableId="2054689922">
    <w:abstractNumId w:val="1"/>
  </w:num>
  <w:num w:numId="19" w16cid:durableId="1415274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FD"/>
    <w:rsid w:val="0003292D"/>
    <w:rsid w:val="0009596F"/>
    <w:rsid w:val="000F4CDA"/>
    <w:rsid w:val="001A28B6"/>
    <w:rsid w:val="002D0EFD"/>
    <w:rsid w:val="002E7089"/>
    <w:rsid w:val="00572A36"/>
    <w:rsid w:val="00580F52"/>
    <w:rsid w:val="005F245E"/>
    <w:rsid w:val="00601975"/>
    <w:rsid w:val="008734F8"/>
    <w:rsid w:val="008C3E30"/>
    <w:rsid w:val="00934ACA"/>
    <w:rsid w:val="0096516F"/>
    <w:rsid w:val="00CC5FBA"/>
    <w:rsid w:val="00E22D4A"/>
    <w:rsid w:val="00F862AF"/>
    <w:rsid w:val="00FA325D"/>
    <w:rsid w:val="00FB3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28B3"/>
  <w15:docId w15:val="{4FEA928B-9FAE-4F8D-9780-AE08793C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character" w:styleId="Hyperlink">
    <w:name w:val="Hyperlink"/>
    <w:basedOn w:val="DefaultParagraphFont"/>
    <w:uiPriority w:val="99"/>
    <w:unhideWhenUsed/>
    <w:rsid w:val="008C3E30"/>
    <w:rPr>
      <w:color w:val="0000FF" w:themeColor="hyperlink"/>
      <w:u w:val="single"/>
    </w:rPr>
  </w:style>
  <w:style w:type="character" w:styleId="UnresolvedMention">
    <w:name w:val="Unresolved Mention"/>
    <w:basedOn w:val="DefaultParagraphFont"/>
    <w:uiPriority w:val="99"/>
    <w:semiHidden/>
    <w:unhideWhenUsed/>
    <w:rsid w:val="008C3E30"/>
    <w:rPr>
      <w:color w:val="605E5C"/>
      <w:shd w:val="clear" w:color="auto" w:fill="E1DFDD"/>
    </w:rPr>
  </w:style>
  <w:style w:type="paragraph" w:styleId="ListParagraph">
    <w:name w:val="List Paragraph"/>
    <w:basedOn w:val="Normal"/>
    <w:uiPriority w:val="34"/>
    <w:qFormat/>
    <w:rsid w:val="00E22D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93894D44AEF4C9AB06072A2451867" ma:contentTypeVersion="6" ma:contentTypeDescription="Create a new document." ma:contentTypeScope="" ma:versionID="6d1131570764e18fc16611ccd94418f9">
  <xsd:schema xmlns:xsd="http://www.w3.org/2001/XMLSchema" xmlns:xs="http://www.w3.org/2001/XMLSchema" xmlns:p="http://schemas.microsoft.com/office/2006/metadata/properties" xmlns:ns3="b2e1af13-f8c1-4efe-8a19-7e1bc541b88d" targetNamespace="http://schemas.microsoft.com/office/2006/metadata/properties" ma:root="true" ma:fieldsID="8005a4735cfc50b4e9d22c586be2542a" ns3:_="">
    <xsd:import namespace="b2e1af13-f8c1-4efe-8a19-7e1bc541b8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1af13-f8c1-4efe-8a19-7e1bc541b8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2e1af13-f8c1-4efe-8a19-7e1bc541b88d" xsi:nil="true"/>
  </documentManagement>
</p:properties>
</file>

<file path=customXml/itemProps1.xml><?xml version="1.0" encoding="utf-8"?>
<ds:datastoreItem xmlns:ds="http://schemas.openxmlformats.org/officeDocument/2006/customXml" ds:itemID="{C0B4F1CD-6501-4181-B6FB-6D6FDDA1D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1af13-f8c1-4efe-8a19-7e1bc541b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95CC20-7E48-43F5-973F-0411598CBF7D}">
  <ds:schemaRefs>
    <ds:schemaRef ds:uri="http://schemas.microsoft.com/sharepoint/v3/contenttype/forms"/>
  </ds:schemaRefs>
</ds:datastoreItem>
</file>

<file path=customXml/itemProps3.xml><?xml version="1.0" encoding="utf-8"?>
<ds:datastoreItem xmlns:ds="http://schemas.openxmlformats.org/officeDocument/2006/customXml" ds:itemID="{7F0AE0C2-66B5-4AC0-B0ED-D0567B14DB1B}">
  <ds:schemaRefs>
    <ds:schemaRef ds:uri="http://schemas.microsoft.com/office/2006/metadata/properties"/>
    <ds:schemaRef ds:uri="http://purl.org/dc/terms/"/>
    <ds:schemaRef ds:uri="http://www.w3.org/XML/1998/namespace"/>
    <ds:schemaRef ds:uri="http://schemas.microsoft.com/office/2006/documentManagement/types"/>
    <ds:schemaRef ds:uri="http://purl.org/dc/elements/1.1/"/>
    <ds:schemaRef ds:uri="b2e1af13-f8c1-4efe-8a19-7e1bc541b88d"/>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17971</Words>
  <Characters>102435</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Dhiyanesh Srinivasan</dc:creator>
  <cp:lastModifiedBy>Dhiyanesh</cp:lastModifiedBy>
  <cp:revision>2</cp:revision>
  <dcterms:created xsi:type="dcterms:W3CDTF">2025-11-09T18:01:00Z</dcterms:created>
  <dcterms:modified xsi:type="dcterms:W3CDTF">2025-11-09T18:01:00Z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0x0101008D393894D44AEF4C9AB06072A2451867</vt:lpwstr>
  </property>
</Properties>
</file>