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file serves as the main entry point for the</w:t>
      </w:r>
      <w:r>
        <w:t xml:space="preserve"> </w:t>
      </w:r>
      <w:r>
        <w:rPr>
          <w:rStyle w:val="VerbatimChar"/>
        </w:rPr>
        <w:t xml:space="preserve">code_monitor</w:t>
      </w:r>
      <w:r>
        <w:t xml:space="preserve"> </w:t>
      </w:r>
      <w:r>
        <w:t xml:space="preserve">package when it is executed as a module (e.g.,</w:t>
      </w:r>
      <w:r>
        <w:t xml:space="preserve"> </w:t>
      </w:r>
      <w:r>
        <w:rPr>
          <w:rStyle w:val="VerbatimChar"/>
        </w:rPr>
        <w:t xml:space="preserve">python -m code_monitor</w:t>
      </w:r>
      <w:r>
        <w:t xml:space="preserve">). Its primary responsibility is to invoke the main analysis function,</w:t>
      </w:r>
      <w:r>
        <w:t xml:space="preserve"> </w:t>
      </w:r>
      <w:r>
        <w:rPr>
          <w:rStyle w:val="VerbatimChar"/>
        </w:rPr>
        <w:t xml:space="preserve">analyze</w:t>
      </w:r>
      <w:r>
        <w:t xml:space="preserve">, from the</w:t>
      </w:r>
      <w:r>
        <w:t xml:space="preserve"> </w:t>
      </w:r>
      <w:r>
        <w:rPr>
          <w:rStyle w:val="VerbatimChar"/>
        </w:rPr>
        <w:t xml:space="preserve">.main</w:t>
      </w:r>
      <w:r>
        <w:t xml:space="preserve"> </w:t>
      </w:r>
      <w:r>
        <w:t xml:space="preserve">submodule.</w:t>
      </w:r>
    </w:p>
    <w:p>
      <w:pPr>
        <w:pStyle w:val="BodyText"/>
      </w:pPr>
      <w:r>
        <w:t xml:space="preserve">The script is designed to work with the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library, including a mechanism to gracefully handle</w:t>
      </w:r>
      <w:r>
        <w:t xml:space="preserve"> </w:t>
      </w:r>
      <w:r>
        <w:rPr>
          <w:rStyle w:val="VerbatimChar"/>
        </w:rPr>
        <w:t xml:space="preserve">SystemExit</w:t>
      </w:r>
      <w:r>
        <w:t xml:space="preserve"> </w:t>
      </w:r>
      <w:r>
        <w:t xml:space="preserve">exceptions that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might raise after displaying help messages or upon normal command completion.</w:t>
      </w:r>
    </w:p>
    <w:bookmarkEnd w:id="9"/>
    <w:bookmarkStart w:id="11" w:name="functions"/>
    <w:p>
      <w:pPr>
        <w:pStyle w:val="Heading2"/>
      </w:pPr>
      <w:r>
        <w:t xml:space="preserve">Functions</w:t>
      </w:r>
    </w:p>
    <w:bookmarkStart w:id="10" w:name="main"/>
    <w:p>
      <w:pPr>
        <w:pStyle w:val="Heading3"/>
      </w:pPr>
      <w:r>
        <w:rPr>
          <w:rStyle w:val="VerbatimChar"/>
        </w:rPr>
        <w:t xml:space="preserve">main()</w:t>
      </w:r>
    </w:p>
    <w:p>
      <w:pPr>
        <w:pStyle w:val="FirstParagraph"/>
      </w:pPr>
      <w:r>
        <w:t xml:space="preserve">This function is the primary entry point for the command-line execution of the</w:t>
      </w:r>
      <w:r>
        <w:t xml:space="preserve"> </w:t>
      </w:r>
      <w:r>
        <w:rPr>
          <w:rStyle w:val="VerbatimChar"/>
        </w:rPr>
        <w:t xml:space="preserve">code_monitor</w:t>
      </w:r>
      <w:r>
        <w:t xml:space="preserve"> </w:t>
      </w:r>
      <w:r>
        <w:t xml:space="preserve">package. It calls the</w:t>
      </w:r>
      <w:r>
        <w:t xml:space="preserve"> </w:t>
      </w:r>
      <w:r>
        <w:rPr>
          <w:rStyle w:val="VerbatimChar"/>
        </w:rPr>
        <w:t xml:space="preserve">analyze</w:t>
      </w:r>
      <w:r>
        <w:t xml:space="preserve"> </w:t>
      </w:r>
      <w:r>
        <w:t xml:space="preserve">function, which contains the core logic for the tool.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analyze</w:t>
      </w:r>
      <w:r>
        <w:t xml:space="preserve"> </w:t>
      </w:r>
      <w:r>
        <w:t xml:space="preserve">function is called with</w:t>
      </w:r>
      <w:r>
        <w:t xml:space="preserve"> </w:t>
      </w:r>
      <w:r>
        <w:rPr>
          <w:rStyle w:val="VerbatimChar"/>
        </w:rPr>
        <w:t xml:space="preserve">standalone_mode=False</w:t>
      </w:r>
      <w:r>
        <w:t xml:space="preserve">. This is a convention used by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to manage how command-line applications are invoked, especially when dealing with command groups. It tells the underlying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application that it’s not being run in a standalone mode, which can affect context management.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Parameters</w:t>
      </w:r>
      <w:r>
        <w:t xml:space="preserve">: None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Returns</w:t>
      </w:r>
      <w:r>
        <w:t xml:space="preserve">: None</w:t>
      </w:r>
    </w:p>
    <w:bookmarkEnd w:id="10"/>
    <w:bookmarkEnd w:id="11"/>
    <w:bookmarkStart w:id="13" w:name="script-execution"/>
    <w:p>
      <w:pPr>
        <w:pStyle w:val="Heading2"/>
      </w:pPr>
      <w:r>
        <w:t xml:space="preserve">Script Execution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if __name__ == "__main__":</w:t>
      </w:r>
      <w:r>
        <w:t xml:space="preserve"> </w:t>
      </w:r>
      <w:r>
        <w:t xml:space="preserve">block handles the direct execution of the script. It calls the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function within a</w:t>
      </w:r>
      <w:r>
        <w:t xml:space="preserve"> </w:t>
      </w:r>
      <w:r>
        <w:rPr>
          <w:rStyle w:val="VerbatimChar"/>
        </w:rPr>
        <w:t xml:space="preserve">try...except</w:t>
      </w:r>
      <w:r>
        <w:t xml:space="preserve"> </w:t>
      </w:r>
      <w:r>
        <w:t xml:space="preserve">block. This block specifically catches</w:t>
      </w:r>
      <w:r>
        <w:t xml:space="preserve"> </w:t>
      </w:r>
      <w:r>
        <w:rPr>
          <w:rStyle w:val="VerbatimChar"/>
        </w:rPr>
        <w:t xml:space="preserve">SystemExit</w:t>
      </w:r>
      <w:r>
        <w:t xml:space="preserve"> </w:t>
      </w:r>
      <w:r>
        <w:t xml:space="preserve">exceptions, which are commonly raised by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after processing commands like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or upon successful completion. The code ensures that only</w:t>
      </w:r>
      <w:r>
        <w:t xml:space="preserve"> </w:t>
      </w:r>
      <w:r>
        <w:rPr>
          <w:rStyle w:val="VerbatimChar"/>
        </w:rPr>
        <w:t xml:space="preserve">SystemExit</w:t>
      </w:r>
      <w:r>
        <w:t xml:space="preserve"> </w:t>
      </w:r>
      <w:r>
        <w:t xml:space="preserve">exceptions with non-zero exit codes (indicating an error) are re-raised, preventing benign exits from producing traceback messages.</w:t>
      </w:r>
    </w:p>
    <w:bookmarkStart w:id="12" w:name="usage-example"/>
    <w:p>
      <w:pPr>
        <w:pStyle w:val="Heading3"/>
      </w:pPr>
      <w:r>
        <w:t xml:space="preserve">Usage Example</w:t>
      </w:r>
    </w:p>
    <w:p>
      <w:pPr>
        <w:pStyle w:val="FirstParagraph"/>
      </w:pPr>
      <w:r>
        <w:t xml:space="preserve">To run the code monitor tool from your terminal, you would execute the package as a module. This command triggers this</w:t>
      </w:r>
      <w:r>
        <w:t xml:space="preserve"> </w:t>
      </w:r>
      <w:r>
        <w:rPr>
          <w:rStyle w:val="VerbatimChar"/>
        </w:rPr>
        <w:t xml:space="preserve">__main__.py</w:t>
      </w:r>
      <w:r>
        <w:t xml:space="preserve"> </w:t>
      </w:r>
      <w:r>
        <w:t xml:space="preserve">script.</w:t>
      </w:r>
    </w:p>
    <w:p>
      <w:pPr>
        <w:pStyle w:val="SourceCode"/>
      </w:pPr>
      <w:r>
        <w:rPr>
          <w:rStyle w:val="VerbatimChar"/>
        </w:rPr>
        <w:t xml:space="preserve"># Execute the code monitor package from the command line</w:t>
      </w:r>
      <w:r>
        <w:br/>
      </w:r>
      <w:r>
        <w:rPr>
          <w:rStyle w:val="VerbatimChar"/>
        </w:rPr>
        <w:t xml:space="preserve">python -m code_monitor [OPTIONS] [PATHS]...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2025-09-17T11:01:57Z</dcterms:created>
  <dcterms:modified xsi:type="dcterms:W3CDTF">2025-09-17T11:01:57Z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