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file serves as the main entry point for the</w:t>
      </w:r>
      <w:r>
        <w:t xml:space="preserve"> </w:t>
      </w:r>
      <w:r>
        <w:rPr>
          <w:rStyle w:val="VerbatimChar"/>
        </w:rPr>
        <w:t xml:space="preserve">code_monitor</w:t>
      </w:r>
      <w:r>
        <w:t xml:space="preserve"> </w:t>
      </w:r>
      <w:r>
        <w:t xml:space="preserve">package when executed as a module (e.g.,</w:t>
      </w:r>
      <w:r>
        <w:t xml:space="preserve"> </w:t>
      </w:r>
      <w:r>
        <w:rPr>
          <w:rStyle w:val="VerbatimChar"/>
        </w:rPr>
        <w:t xml:space="preserve">python -m code_monitor</w:t>
      </w:r>
      <w:r>
        <w:t xml:space="preserve">). It integrates with the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command-line interface library to launch the core analysis functionality. The script calls the</w:t>
      </w:r>
      <w:r>
        <w:t xml:space="preserve"> </w:t>
      </w:r>
      <w:r>
        <w:rPr>
          <w:rStyle w:val="VerbatimChar"/>
        </w:rPr>
        <w:t xml:space="preserve">analyze</w:t>
      </w:r>
      <w:r>
        <w:t xml:space="preserve"> </w:t>
      </w:r>
      <w:r>
        <w:t xml:space="preserve">function from a sibling module (</w:t>
      </w:r>
      <w:r>
        <w:rPr>
          <w:rStyle w:val="VerbatimChar"/>
        </w:rPr>
        <w:t xml:space="preserve">.main</w:t>
      </w:r>
      <w:r>
        <w:t xml:space="preserve">) and includes logic to gracefully handle exits triggered by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for informational commands like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.</w:t>
      </w:r>
    </w:p>
    <w:bookmarkEnd w:id="9"/>
    <w:bookmarkStart w:id="13" w:name="functions"/>
    <w:p>
      <w:pPr>
        <w:pStyle w:val="Heading2"/>
      </w:pPr>
      <w:r>
        <w:t xml:space="preserve">Functions</w:t>
      </w:r>
    </w:p>
    <w:bookmarkStart w:id="10" w:name="main"/>
    <w:p>
      <w:pPr>
        <w:pStyle w:val="Heading3"/>
      </w:pPr>
      <w:r>
        <w:rPr>
          <w:rStyle w:val="VerbatimChar"/>
        </w:rPr>
        <w:t xml:space="preserve">main()</w:t>
      </w:r>
    </w:p>
    <w:p>
      <w:pPr>
        <w:pStyle w:val="FirstParagraph"/>
      </w:pPr>
      <w:r>
        <w:t xml:space="preserve">This function acts as the primary entry point for the command-line application. It invokes the</w:t>
      </w:r>
      <w:r>
        <w:t xml:space="preserve"> </w:t>
      </w:r>
      <w:r>
        <w:rPr>
          <w:rStyle w:val="VerbatimChar"/>
        </w:rPr>
        <w:t xml:space="preserve">analyze</w:t>
      </w:r>
      <w:r>
        <w:t xml:space="preserve"> </w:t>
      </w:r>
      <w:r>
        <w:t xml:space="preserve">function, which contains the core logic of the tool.</w:t>
      </w:r>
    </w:p>
    <w:p>
      <w:pPr>
        <w:pStyle w:val="BodyText"/>
      </w:pPr>
      <w:r>
        <w:t xml:space="preserve">It specifically calls</w:t>
      </w:r>
      <w:r>
        <w:t xml:space="preserve"> </w:t>
      </w:r>
      <w:r>
        <w:rPr>
          <w:rStyle w:val="VerbatimChar"/>
        </w:rPr>
        <w:t xml:space="preserve">analyze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standalone_mode=False</w:t>
      </w:r>
      <w:r>
        <w:t xml:space="preserve">. This is a common pattern when using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to indicate that the function is part of a larger command group and should not handle its own command-line parsing or execution flow independently.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Parameters</w:t>
      </w:r>
      <w:r>
        <w:t xml:space="preserve">: None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Returns</w:t>
      </w:r>
      <w:r>
        <w:t xml:space="preserve">:</w:t>
      </w:r>
      <w:r>
        <w:t xml:space="preserve"> </w:t>
      </w:r>
      <w:r>
        <w:rPr>
          <w:rStyle w:val="VerbatimChar"/>
        </w:rPr>
        <w:t xml:space="preserve">None</w:t>
      </w:r>
    </w:p>
    <w:bookmarkEnd w:id="10"/>
    <w:bookmarkStart w:id="12" w:name="script-execution-block"/>
    <w:p>
      <w:pPr>
        <w:pStyle w:val="Heading3"/>
      </w:pPr>
      <w:r>
        <w:t xml:space="preserve">Script Execution Block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if __name__ == "__main__":</w:t>
      </w:r>
      <w:r>
        <w:t xml:space="preserve"> </w:t>
      </w:r>
      <w:r>
        <w:t xml:space="preserve">block is the standard Python construct that runs when the script is executed directly.</w:t>
      </w:r>
    </w:p>
    <w:p>
      <w:pPr>
        <w:pStyle w:val="BodyText"/>
      </w:pPr>
      <w:r>
        <w:t xml:space="preserve">It calls the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function within a</w:t>
      </w:r>
      <w:r>
        <w:t xml:space="preserve"> </w:t>
      </w:r>
      <w:r>
        <w:rPr>
          <w:rStyle w:val="VerbatimChar"/>
        </w:rPr>
        <w:t xml:space="preserve">try...except</w:t>
      </w:r>
      <w:r>
        <w:t xml:space="preserve"> </w:t>
      </w:r>
      <w:r>
        <w:t xml:space="preserve">block. This block is designed to catch</w:t>
      </w:r>
      <w:r>
        <w:t xml:space="preserve"> </w:t>
      </w:r>
      <w:r>
        <w:rPr>
          <w:rStyle w:val="VerbatimChar"/>
        </w:rPr>
        <w:t xml:space="preserve">SystemExit</w:t>
      </w:r>
      <w:r>
        <w:t xml:space="preserve"> </w:t>
      </w:r>
      <w:r>
        <w:t xml:space="preserve">exceptions, which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raises after processing certain command-line arguments that terminate the program, such as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. The code checks the exit code and only re-raises the exception if it’s not a clean exit (i.e., the code is not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), preventing normal help-related exits from being treated as errors.</w:t>
      </w:r>
    </w:p>
    <w:bookmarkStart w:id="11" w:name="usage-example"/>
    <w:p>
      <w:pPr>
        <w:pStyle w:val="Heading4"/>
      </w:pPr>
      <w:r>
        <w:t xml:space="preserve">Usage Example</w:t>
      </w:r>
    </w:p>
    <w:p>
      <w:pPr>
        <w:pStyle w:val="FirstParagraph"/>
      </w:pPr>
      <w:r>
        <w:t xml:space="preserve">To run the application, you would execute the package as a module from your terminal:</w:t>
      </w:r>
    </w:p>
    <w:p>
      <w:pPr>
        <w:pStyle w:val="SourceCode"/>
      </w:pPr>
      <w:r>
        <w:rPr>
          <w:rStyle w:val="VerbatimChar"/>
        </w:rPr>
        <w:t xml:space="preserve">python -m code_monitor [OPTIONS] [COMMAND]</w:t>
      </w:r>
    </w:p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2025-09-22T09:40:24Z</dcterms:created>
  <dcterms:modified xsi:type="dcterms:W3CDTF">2025-09-22T09:40:24Z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