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Overview</w:t>
      </w:r>
    </w:p>
    <w:p>
      <w:pPr>
        <w:pStyle w:val="FirstParagraph"/>
      </w:pPr>
      <w:r>
        <w:t xml:space="preserve">This file serves as the primary command-line entry point for the</w:t>
      </w:r>
      <w:r>
        <w:t xml:space="preserve"> </w:t>
      </w:r>
      <w:r>
        <w:rPr>
          <w:rStyle w:val="VerbatimChar"/>
        </w:rPr>
        <w:t xml:space="preserve">code_monitor</w:t>
      </w:r>
      <w:r>
        <w:t xml:space="preserve"> </w:t>
      </w:r>
      <w:r>
        <w:t xml:space="preserve">package. When the package is executed as a module (e.g., via</w:t>
      </w:r>
      <w:r>
        <w:t xml:space="preserve"> </w:t>
      </w:r>
      <w:r>
        <w:rPr>
          <w:rStyle w:val="VerbatimChar"/>
        </w:rPr>
        <w:t xml:space="preserve">python -m code_monitor</w:t>
      </w:r>
      <w:r>
        <w:t xml:space="preserve">), this script is run.</w:t>
      </w:r>
    </w:p>
    <w:p>
      <w:pPr>
        <w:pStyle w:val="BodyText"/>
      </w:pPr>
      <w:r>
        <w:t xml:space="preserve">Its main purpose is to invoke the core analysis logic, which is encapsulated in the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function from the</w:t>
      </w:r>
      <w:r>
        <w:t xml:space="preserve"> </w:t>
      </w:r>
      <w:r>
        <w:rPr>
          <w:rStyle w:val="VerbatimChar"/>
        </w:rPr>
        <w:t xml:space="preserve">.main</w:t>
      </w:r>
      <w:r>
        <w:t xml:space="preserve"> </w:t>
      </w:r>
      <w:r>
        <w:t xml:space="preserve">module. The script also includes a standard execution block (</w:t>
      </w:r>
      <w:r>
        <w:rPr>
          <w:rStyle w:val="VerbatimChar"/>
        </w:rPr>
        <w:t xml:space="preserve">if __name__ == "__main__":</w:t>
      </w:r>
      <w:r>
        <w:t xml:space="preserve">) that handles calling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function and gracefully manages</w:t>
      </w:r>
      <w:r>
        <w:t xml:space="preserve"> </w:t>
      </w:r>
      <w:r>
        <w:rPr>
          <w:rStyle w:val="VerbatimChar"/>
        </w:rPr>
        <w:t xml:space="preserve">SystemExit</w:t>
      </w:r>
      <w:r>
        <w:t xml:space="preserve"> </w:t>
      </w:r>
      <w:r>
        <w:t xml:space="preserve">exceptions, which are commonly raised by the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library after handling commands like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.</w:t>
      </w:r>
    </w:p>
    <w:bookmarkEnd w:id="9"/>
    <w:bookmarkStart w:id="11" w:name="functions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Functions</w:t>
      </w:r>
    </w:p>
    <w:bookmarkStart w:id="10" w:name="main"/>
    <w:p>
      <w:pPr>
        <w:pStyle w:val="Heading3"/>
      </w:pPr>
      <w:r>
        <w:rPr>
          <w:rStyle w:val="SectionNumber"/>
        </w:rPr>
        <w:t xml:space="preserve">2.1</w:t>
      </w:r>
      <w:r>
        <w:tab/>
      </w:r>
      <w:r>
        <w:rPr>
          <w:rStyle w:val="VerbatimChar"/>
        </w:rPr>
        <w:t xml:space="preserve">main()</w:t>
      </w:r>
    </w:p>
    <w:p>
      <w:pPr>
        <w:pStyle w:val="FirstParagraph"/>
      </w:pPr>
      <w:r>
        <w:t xml:space="preserve">This function is the main entry point for the application’s execution. It calls the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function from the</w:t>
      </w:r>
      <w:r>
        <w:t xml:space="preserve"> </w:t>
      </w:r>
      <w:r>
        <w:rPr>
          <w:rStyle w:val="VerbatimChar"/>
        </w:rPr>
        <w:t xml:space="preserve">.main</w:t>
      </w:r>
      <w:r>
        <w:t xml:space="preserve"> </w:t>
      </w:r>
      <w:r>
        <w:t xml:space="preserve">module to start the code analysis process.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Parameters</w:t>
      </w:r>
      <w:r>
        <w:t xml:space="preserve">: None.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Returns</w:t>
      </w:r>
      <w:r>
        <w:t xml:space="preserve">: None.</w:t>
      </w:r>
    </w:p>
    <w:p>
      <w:pPr>
        <w:pStyle w:val="FirstParagraph"/>
      </w:pPr>
      <w:r>
        <w:rPr>
          <w:b/>
          <w:bCs/>
        </w:rPr>
        <w:t xml:space="preserve">Details:</w:t>
      </w:r>
    </w:p>
    <w:p>
      <w:pPr>
        <w:pStyle w:val="BodyText"/>
      </w:pPr>
      <w:r>
        <w:t xml:space="preserve">The function calls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standalone_mode=False</w:t>
      </w:r>
      <w:r>
        <w:t xml:space="preserve">. This argument is passed to the underlying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command handler, indicating that it’s being invoked programmatically and not in a way that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 </w:t>
      </w:r>
      <w:r>
        <w:t xml:space="preserve">should manage the process exit itself.</w:t>
      </w:r>
    </w:p>
    <w:p>
      <w:pPr>
        <w:pStyle w:val="BodyText"/>
      </w:pPr>
      <w:r>
        <w:rPr>
          <w:b/>
          <w:bCs/>
        </w:rPr>
        <w:t xml:space="preserve">Usage Example:</w:t>
      </w:r>
    </w:p>
    <w:p>
      <w:pPr>
        <w:pStyle w:val="BodyText"/>
      </w:pPr>
      <w:r>
        <w:t xml:space="preserve">This function is not intended to be imported and called directly. Instead, it is executed when the module is run from the command line.</w:t>
      </w:r>
    </w:p>
    <w:p>
      <w:pPr>
        <w:pStyle w:val="SourceCode"/>
      </w:pPr>
      <w:r>
        <w:rPr>
          <w:rStyle w:val="CommentTok"/>
        </w:rPr>
        <w:t xml:space="preserve"># This command executes the __main__.py script, which in turn calls the main() function.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code_monitor </w:t>
      </w:r>
      <w:r>
        <w:rPr>
          <w:rStyle w:val="AttributeTok"/>
        </w:rPr>
        <w:t xml:space="preserve">--path</w:t>
      </w:r>
      <w:r>
        <w:rPr>
          <w:rStyle w:val="NormalTok"/>
        </w:rPr>
        <w:t xml:space="preserve"> /path/to/your/code</w:t>
      </w:r>
    </w:p>
    <w:bookmarkEnd w:id="10"/>
    <w:bookmarkEnd w:id="11"/>
    <w:sectPr w:rsidR="009B2029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06237985" w:numId="1">
    <w:abstractNumId w:val="8"/>
  </w:num>
  <w:num w16cid:durableId="1179200623" w:numId="2">
    <w:abstractNumId w:val="6"/>
  </w:num>
  <w:num w16cid:durableId="297493677" w:numId="3">
    <w:abstractNumId w:val="5"/>
  </w:num>
  <w:num w16cid:durableId="934627216" w:numId="4">
    <w:abstractNumId w:val="4"/>
  </w:num>
  <w:num w16cid:durableId="818619603" w:numId="5">
    <w:abstractNumId w:val="7"/>
  </w:num>
  <w:num w16cid:durableId="453984866" w:numId="6">
    <w:abstractNumId w:val="3"/>
  </w:num>
  <w:num w16cid:durableId="1059523638" w:numId="7">
    <w:abstractNumId w:val="2"/>
  </w:num>
  <w:num w16cid:durableId="348261973" w:numId="8">
    <w:abstractNumId w:val="1"/>
  </w:num>
  <w:num w16cid:durableId="1721326024"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FEC"/>
    <w:rsid w:val="0006063C"/>
    <w:rsid w:val="000E4701"/>
    <w:rsid w:val="0015074B"/>
    <w:rsid w:val="00201E80"/>
    <w:rsid w:val="0029639D"/>
    <w:rsid w:val="00326F90"/>
    <w:rsid w:val="009B2029"/>
    <w:rsid w:val="00AA1D8D"/>
    <w:rsid w:val="00B47730"/>
    <w:rsid w:val="00BC40B5"/>
    <w:rsid w:val="00CB0664"/>
    <w:rsid w:val="00E74E0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051FEC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333333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E74E0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6" w:themeShade="BF" w:val="E36C0A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74E0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6" w:themeShade="BF" w:val="E36C0A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E74E0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6" w:themeTint="99" w:val="FABF8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051FEC"/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E74E09"/>
    <w:rPr>
      <w:rFonts w:asciiTheme="majorHAnsi" w:cstheme="majorBidi" w:eastAsiaTheme="majorEastAsia" w:hAnsiTheme="majorHAnsi"/>
      <w:b/>
      <w:bCs/>
      <w:color w:themeColor="accent6" w:themeShade="BF" w:val="E36C0A"/>
      <w:sz w:val="24"/>
    </w:rPr>
  </w:style>
  <w:style w:styleId="Title" w:type="paragraph">
    <w:name w:val="Title"/>
    <w:basedOn w:val="Normal"/>
    <w:next w:val="Normal"/>
    <w:link w:val="TitleChar"/>
    <w:uiPriority w:val="10"/>
    <w:qFormat/>
    <w:rsid w:val="00051FEC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051FEC"/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rsid w:val="00E74E09"/>
    <w:rPr>
      <w:rFonts w:asciiTheme="majorHAnsi" w:cstheme="majorBidi" w:eastAsiaTheme="majorEastAsia" w:hAnsiTheme="majorHAnsi"/>
      <w:b/>
      <w:bCs/>
      <w:i/>
      <w:iCs/>
      <w:color w:themeColor="accent6" w:themeShade="BF" w:val="E36C0A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E74E09"/>
    <w:rPr>
      <w:rFonts w:asciiTheme="majorHAnsi" w:cstheme="majorBidi" w:eastAsiaTheme="majorEastAsia" w:hAnsiTheme="majorHAnsi"/>
      <w:color w:themeColor="accent6" w:themeTint="99" w:val="FABF8F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2025-10-08T08:16:52Z</dcterms:created>
  <dcterms:modified xsi:type="dcterms:W3CDTF">2025-10-08T08:16:52Z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