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heet-dataset-overview"/>
    <w:p>
      <w:pPr>
        <w:pStyle w:val="Heading3"/>
      </w:pPr>
      <w:r>
        <w:t xml:space="preserve">Sheet: Dataset Overview</w:t>
      </w:r>
    </w:p>
    <w:p>
      <w:pPr>
        <w:pStyle w:val="FirstParagraph"/>
      </w:pPr>
      <w:r>
        <w:t xml:space="preserve">This dataset appears to be an inventory of medical data collections. Each row specifies a</w:t>
      </w:r>
      <w:r>
        <w:t xml:space="preserve"> </w:t>
      </w:r>
      <w:r>
        <w:rPr>
          <w:rStyle w:val="VerbatimChar"/>
        </w:rPr>
        <w:t xml:space="preserve">Dataset Type</w:t>
      </w:r>
      <w:r>
        <w:t xml:space="preserve">, such as MRI Scans, CT Scans, X-ray Images, and EHR Data. For each type, the sheet quantifies the</w:t>
      </w:r>
      <w:r>
        <w:t xml:space="preserve"> </w:t>
      </w:r>
      <w:r>
        <w:rPr>
          <w:rStyle w:val="VerbatimChar"/>
        </w:rPr>
        <w:t xml:space="preserve">Number of Records</w:t>
      </w:r>
      <w:r>
        <w:t xml:space="preserve"> </w:t>
      </w:r>
      <w:r>
        <w:t xml:space="preserve">and the total</w:t>
      </w:r>
      <w:r>
        <w:t xml:space="preserve"> </w:t>
      </w:r>
      <w:r>
        <w:rPr>
          <w:rStyle w:val="VerbatimChar"/>
        </w:rPr>
        <w:t xml:space="preserve">Size (GB)</w:t>
      </w:r>
      <w:r>
        <w:t xml:space="preserve">, providing a high-level summary of the volume and storage requirements for different kinds of healthcare data.</w:t>
      </w:r>
    </w:p>
    <w:bookmarkEnd w:id="9"/>
    <w:bookmarkStart w:id="10" w:name="sheet-model-performance"/>
    <w:p>
      <w:pPr>
        <w:pStyle w:val="Heading3"/>
      </w:pPr>
      <w:r>
        <w:t xml:space="preserve">Sheet: Model Performance</w:t>
      </w:r>
    </w:p>
    <w:p>
      <w:pPr>
        <w:pStyle w:val="FirstParagraph"/>
      </w:pPr>
      <w:r>
        <w:t xml:space="preserve">This data sheet appears to contain a performance comparison of different machine learning models. Each row represents a specific model, identified by its</w:t>
      </w:r>
      <w:r>
        <w:t xml:space="preserve"> </w:t>
      </w:r>
      <w:r>
        <w:t xml:space="preserve">“Model Name”</w:t>
      </w:r>
      <w:r>
        <w:t xml:space="preserve"> </w:t>
      </w:r>
      <w:r>
        <w:t xml:space="preserve">(e.g., ResNet50, ViT-Base). The subsequent columns quantify the model’s performance using standard classification metrics:</w:t>
      </w:r>
      <w:r>
        <w:t xml:space="preserve"> </w:t>
      </w:r>
      <w:r>
        <w:t xml:space="preserve">“Accuracy,”</w:t>
      </w:r>
      <w:r>
        <w:t xml:space="preserve"> </w:t>
      </w:r>
      <w:r>
        <w:t xml:space="preserve">“Precision,”</w:t>
      </w:r>
      <w:r>
        <w:t xml:space="preserve"> </w:t>
      </w:r>
      <w:r>
        <w:t xml:space="preserve">and</w:t>
      </w:r>
      <w:r>
        <w:t xml:space="preserve"> </w:t>
      </w:r>
      <w:r>
        <w:t xml:space="preserve">“Recall,”</w:t>
      </w:r>
      <w:r>
        <w:t xml:space="preserve"> </w:t>
      </w:r>
      <w:r>
        <w:t xml:space="preserve">with all values expressed as percentages. The data is structured to facilitate the evaluation and comparison of these models on a particular task.</w:t>
      </w:r>
    </w:p>
    <w:bookmarkEnd w:id="10"/>
    <w:bookmarkStart w:id="11" w:name="sheet-system-metrics"/>
    <w:p>
      <w:pPr>
        <w:pStyle w:val="Heading3"/>
      </w:pPr>
      <w:r>
        <w:t xml:space="preserve">Sheet: System Metrics</w:t>
      </w:r>
    </w:p>
    <w:p>
      <w:pPr>
        <w:pStyle w:val="FirstParagraph"/>
      </w:pPr>
      <w:r>
        <w:t xml:space="preserve">This data appears to be a performance benchmark summary for a machine learning or computer vision task. It details key performance indicators such as average inference latency (0.34 seconds per image) and peak throughput (220 images per minute). The summary also includes resource utilization, noting an 86% GPU utilization, and specifies the high-end server hardware (4x NVIDIA A100 GPUs, 256 GB RAM) on which the benchmark was conducted.</w:t>
      </w:r>
    </w:p>
    <w:bookmarkEnd w:id="11"/>
    <w:bookmarkStart w:id="12" w:name="sheet-deployment-stats"/>
    <w:p>
      <w:pPr>
        <w:pStyle w:val="Heading3"/>
      </w:pPr>
      <w:r>
        <w:t xml:space="preserve">Sheet: Deployment Stats</w:t>
      </w:r>
    </w:p>
    <w:p>
      <w:pPr>
        <w:pStyle w:val="FirstParagraph"/>
      </w:pPr>
      <w:r>
        <w:t xml:space="preserve">This data appears to be a summary of key performance indicators (KPIs) for a service or application, likely within the healthcare technology sector. The sheet tracks both operational and usage metrics. Based on the sample, the service is deployed in 12 hospitals across 3 countries, has 142 daily active users, processes 4,500 API requests per day, and maintains an uptime of 99.97%.</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2025-11-05T11:26:23Z</dcterms:created>
  <dcterms:modified xsi:type="dcterms:W3CDTF">2025-11-05T11:26:23Z</dcterms:modified>
</cp:coreProperties>
</file>

<file path=docProps/custom.xml><?xml version="1.0" encoding="utf-8"?>
<Properties xmlns="http://schemas.openxmlformats.org/officeDocument/2006/custom-properties" xmlns:vt="http://schemas.openxmlformats.org/officeDocument/2006/docPropsVTypes"/>
</file>