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int/float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int/float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types. The function then uses the standard addition operator (</w:t>
      </w:r>
      <w:r>
        <w:rPr>
          <w:rStyle w:val="VerbatimChar"/>
        </w:rPr>
        <w:t xml:space="preserve">+</w:t>
      </w:r>
      <w:r>
        <w:t xml:space="preserve">) to compute their sum. The resulting value from the expression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 </w:t>
      </w:r>
      <w:r>
        <w:t xml:space="preserve">is immediately returned to the caller.</w:t>
      </w:r>
    </w:p>
    <w:p>
      <w:pPr>
        <w:pStyle w:val="SourceCode"/>
      </w:pPr>
      <w:r>
        <w:rPr>
          <w:rStyle w:val="CommentTok"/>
        </w:rPr>
        <w:t xml:space="preserve"># The function's logic is a single addition operation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p>
      <w:pPr>
        <w:pStyle w:val="FirstParagraph"/>
      </w:pPr>
      <w:r>
        <w:t xml:space="preserve">The primary purpose of this function is to encapsulate the addition of two numbers.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is designed to work with numeric types such as integers (</w:t>
      </w:r>
      <w:r>
        <w:rPr>
          <w:rStyle w:val="VerbatimChar"/>
        </w:rPr>
        <w:t xml:space="preserve">int</w:t>
      </w:r>
      <w:r>
        <w:t xml:space="preserve">) and floating-point numbers (</w:t>
      </w:r>
      <w:r>
        <w:rPr>
          <w:rStyle w:val="VerbatimChar"/>
        </w:rPr>
        <w:t xml:space="preserve">float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If string types are passed as arguments, the function will perform string concatenation instead of arithmetic addition. For example,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example: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integers</w:t>
      </w:r>
      <w:r>
        <w:br/>
      </w:r>
      <w:r>
        <w:rPr>
          <w:rStyle w:val="NormalTok"/>
        </w:rPr>
        <w:t xml:space="preserve">result_int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sum of integers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result_int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usage with floats</w:t>
      </w:r>
      <w:r>
        <w:br/>
      </w:r>
      <w:r>
        <w:rPr>
          <w:rStyle w:val="NormalTok"/>
        </w:rPr>
        <w:t xml:space="preserve">result_float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sum of floats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result_float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sum of integers is: 15</w:t>
      </w:r>
      <w:r>
        <w:br/>
      </w:r>
      <w:r>
        <w:rPr>
          <w:rStyle w:val="VerbatimChar"/>
        </w:rPr>
        <w:t xml:space="preserve">The sum of floats is: 9.7</w:t>
      </w:r>
    </w:p>
    <w:p>
      <w:r>
        <w:pict>
          <v:rect style="width:0;height:1.5pt" o:hralign="center" o:hrstd="t" o:hr="t"/>
        </w:pict>
      </w:r>
    </w:p>
    <w:bookmarkEnd w:id="14"/>
    <w:bookmarkStart w:id="15" w:name="Xce3f2a217a6402473c0e9058130964f6aa7923f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generate_random_integers(count, start, end)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returns a list of a specified number of pseudo-random integers within a defined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number of random integers to generate. This value must be non-negative.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generated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generated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convenient way to generate a list of random integers. It operates in a few distinct steps: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It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less than zero.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it’s impossible to generate a negative number of integers.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The function then compares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it automatically swaps their values. This ensures that the range is always valid for the random number generation logic, making the function more robust against user error.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Finally, it uses a list comprehension to generate the list of integers.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 </w:t>
      </w:r>
      <w:r>
        <w:t xml:space="preserve">for a total of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collecting each result into a list which is then returned. The use of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means the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 </w:t>
      </w:r>
      <w:r>
        <w:t xml:space="preserve">is inclusive, so 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values can be part of the output.</w:t>
      </w:r>
    </w:p>
    <w:p>
      <w:pPr>
        <w:pStyle w:val="SourceCode"/>
      </w:pPr>
      <w:r>
        <w:rPr>
          <w:rStyle w:val="CommentTok"/>
        </w:rPr>
        <w:t xml:space="preserve"># Internal logic for generation</w:t>
      </w:r>
      <w:r>
        <w:br/>
      </w:r>
      <w:r>
        <w:rPr>
          <w:rStyle w:val="NormalTok"/>
        </w:rPr>
        <w:t xml:space="preserve">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requires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to be imported.</w:t>
      </w:r>
    </w:p>
    <w:p>
      <w:pPr>
        <w:pStyle w:val="Compact"/>
        <w:numPr>
          <w:ilvl w:val="0"/>
          <w:numId w:val="1003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number.</w:t>
      </w:r>
    </w:p>
    <w:p>
      <w:pPr>
        <w:pStyle w:val="Compact"/>
        <w:numPr>
          <w:ilvl w:val="0"/>
          <w:numId w:val="1003"/>
        </w:numPr>
      </w:pPr>
      <w:r>
        <w:t xml:space="preserve">The function gracefully handles cases where</w:t>
      </w:r>
      <w:r>
        <w:t xml:space="preserve"> </w:t>
      </w:r>
      <w:r>
        <w:rPr>
          <w:rStyle w:val="VerbatimChar"/>
        </w:rPr>
        <w:t xml:space="preserve">start &gt; end</w:t>
      </w:r>
      <w:r>
        <w:t xml:space="preserve"> </w:t>
      </w:r>
      <w:r>
        <w:t xml:space="preserve">by swapping the values internally.</w:t>
      </w:r>
    </w:p>
    <w:p>
      <w:pPr>
        <w:pStyle w:val="Compact"/>
        <w:numPr>
          <w:ilvl w:val="0"/>
          <w:numId w:val="1003"/>
        </w:numPr>
      </w:pPr>
      <w:r>
        <w:t xml:space="preserve">The generated integers are sampled uniformly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</w:t>
      </w:r>
      <w:r>
        <w:t xml:space="preserve"> </w:t>
      </w:r>
      <w:r>
        <w:rPr>
          <w:rStyle w:val="VerbatimChar"/>
        </w:rPr>
        <w:t xml:space="preserve">generate_random_integers(5, 1, 10)</w:t>
      </w:r>
      <w:r>
        <w:t xml:space="preserve">. The actual numbers will vary with each execution.</w:t>
      </w:r>
    </w:p>
    <w:p>
      <w:pPr>
        <w:pStyle w:val="SourceCode"/>
      </w:pPr>
      <w:r>
        <w:rPr>
          <w:rStyle w:val="VerbatimChar"/>
        </w:rPr>
        <w:t xml:space="preserve">[8, 2, 10, 5, 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7 random integers between 50 and 60.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(random_list)</w:t>
      </w:r>
      <w:r>
        <w:br/>
      </w:r>
      <w:r>
        <w:br/>
      </w:r>
      <w:r>
        <w:rPr>
          <w:rStyle w:val="CommentTok"/>
        </w:rPr>
        <w:t xml:space="preserve"># Example with swapped start and end values</w:t>
      </w:r>
      <w:r>
        <w:br/>
      </w:r>
      <w:r>
        <w:rPr>
          <w:rStyle w:val="CommentTok"/>
        </w:rPr>
        <w:t xml:space="preserve"># The function will internally treat this as start=1, end=10</w:t>
      </w:r>
      <w:r>
        <w:br/>
      </w:r>
      <w:r>
        <w:rPr>
          <w:rStyle w:val="NormalTok"/>
        </w:rPr>
        <w:t xml:space="preserve">swapped_list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(swapped_list)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[58, 51, 55, 60, 53, 50, 52]</w:t>
      </w:r>
      <w:r>
        <w:br/>
      </w:r>
      <w:r>
        <w:rPr>
          <w:rStyle w:val="VerbatimChar"/>
        </w:rPr>
        <w:t xml:space="preserve">[5, 9, 2, 10, 3]</w:t>
      </w:r>
    </w:p>
    <w:p>
      <w:pPr>
        <w:pStyle w:val="FirstParagraph"/>
      </w:pPr>
      <w:r>
        <w:rPr>
          <w:i/>
          <w:iCs/>
        </w:rPr>
        <w:t xml:space="preserve">(Note: The actual output will vary as the numbers are generated randomly.)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fibonacci(n)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</w:p>
    <w:p>
      <w:pPr>
        <w:pStyle w:val="Compact"/>
        <w:numPr>
          <w:ilvl w:val="1"/>
          <w:numId w:val="1005"/>
        </w:numPr>
      </w:pPr>
      <w:r>
        <w:t xml:space="preserve">The 0-indexed position in the Fibonacci sequence for which to find the value. This must be a non-negative integer.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logic proceeds as follows: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Input Validation</w:t>
      </w:r>
      <w:r>
        <w:t xml:space="preserve">: The function first checks if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negative. If it is,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Initialization</w:t>
      </w:r>
      <w:r>
        <w:t xml:space="preserve">: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Fibonacci sequence, F(0) and F(1).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Iteration</w:t>
      </w:r>
      <w:r>
        <w:t xml:space="preserve">: The function then enters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to advance the sequence.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Calculation</w:t>
      </w:r>
      <w:r>
        <w:t xml:space="preserve">: The core of the logic is the tuple assignment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 In each step:</w:t>
      </w:r>
    </w:p>
    <w:p>
      <w:pPr>
        <w:pStyle w:val="Compact"/>
        <w:numPr>
          <w:ilvl w:val="1"/>
          <w:numId w:val="1007"/>
        </w:numPr>
      </w:pPr>
      <w:r>
        <w:t xml:space="preserve">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Compact"/>
        <w:numPr>
          <w:ilvl w:val="1"/>
          <w:numId w:val="1007"/>
        </w:numPr>
      </w:pPr>
      <w:r>
        <w:t xml:space="preserve">The sum of the previous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  <w:r>
        <w:t xml:space="preserve"> </w:t>
      </w:r>
      <w:r>
        <w:t xml:space="preserve">This effectively shifts the sequence forward one position, with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holding the value of F(i)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holding F(i+1) at the end of each iteration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Return Value</w:t>
      </w:r>
      <w:r>
        <w:t xml:space="preserve">: After the loop completes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iterations,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number. For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run,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returned. For</w:t>
      </w:r>
      <w:r>
        <w:t xml:space="preserve"> </w:t>
      </w:r>
      <w:r>
        <w:rPr>
          <w:rStyle w:val="VerbatimChar"/>
        </w:rPr>
        <w:t xml:space="preserve">n=1</w:t>
      </w:r>
      <w:r>
        <w:t xml:space="preserve">, the loop runs once, setting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1, which is then returned.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number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function is 0-indexed,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 in the sequence,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iterative implementation is efficient and avoids the performance issues and potential stack overflow errors associated with naive recursive solutions, especially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to find the 10th Fibonacci number</w:t>
      </w:r>
      <w:r>
        <w:br/>
      </w:r>
      <w:r>
        <w:rPr>
          <w:rStyle w:val="NormalTok"/>
        </w:rPr>
        <w:t xml:space="preserve">n_index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fibonacci(n_index)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Fibonacci number at index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n_index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Fibonacci number at index 10 is: 55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item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choose_random_item(items)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string from a provided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(List[str]): A list of strings from which to choose a random item.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select a random element from a list.</w:t>
      </w:r>
    </w:p>
    <w:p>
      <w:pPr>
        <w:pStyle w:val="BodyText"/>
      </w:pPr>
      <w:r>
        <w:t xml:space="preserve">The function first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 the list is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 </w:t>
      </w:r>
      <w:r>
        <w:t xml:space="preserve">to prevent runtime errors from the underlying random selection logic.</w:t>
      </w:r>
    </w:p>
    <w:p>
      <w:pPr>
        <w:pStyle w:val="BodyText"/>
      </w:pPr>
      <w:r>
        <w:t xml:space="preserve">If the list contains one or more items, the function then utilizes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 </w:t>
      </w:r>
      <w:r>
        <w:t xml:space="preserve">to perform the selection. The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 selects one item uniformly at random from the sequence, meaning each item has an equal probability of being chosen. The selected string is then returned as the result.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contain at least one element. Passing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the function is used.</w:t>
      </w:r>
    </w:p>
    <w:p>
      <w:pPr>
        <w:pStyle w:val="Compact"/>
        <w:numPr>
          <w:ilvl w:val="0"/>
          <w:numId w:val="1010"/>
        </w:numPr>
      </w:pPr>
      <w:r>
        <w:t xml:space="preserve">The selection is uniformly random, giving every item in the list an equal chance of being picked.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from the input list.</w:t>
      </w:r>
    </w:p>
    <w:p>
      <w:pPr>
        <w:pStyle w:val="SourceCode"/>
      </w:pPr>
      <w:r>
        <w:rPr>
          <w:rStyle w:val="VerbatimChar"/>
        </w:rPr>
        <w:t xml:space="preserve">"example_string"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necessary for the function to work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selected_color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selected color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selected_color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what happens with an empty list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randomly selected color is: blue</w:t>
      </w:r>
      <w:r>
        <w:br/>
      </w:r>
      <w:r>
        <w:rPr>
          <w:rStyle w:val="VerbatimChar"/>
        </w:rPr>
        <w:t xml:space="preserve">Error: items must not be empty</w:t>
      </w:r>
    </w:p>
    <w:p>
      <w:pPr>
        <w:pStyle w:val="FirstParagraph"/>
      </w:pPr>
      <w:r>
        <w:rPr>
          <w:i/>
          <w:iCs/>
        </w:rPr>
        <w:t xml:space="preserve">(Note: The selected color will vary with each execution as it is chosen randomly.)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item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shuffle_copy(items)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 of integers, leaving the original list unmodified.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List[int]</w:t>
      </w:r>
      <w:r>
        <w:t xml:space="preserve">): The list of integers to be copied and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method for shuffling a list by ensuring the original data structure remains intact. The logic proceeds in the following steps:</w:t>
      </w:r>
    </w:p>
    <w:p>
      <w:pPr>
        <w:numPr>
          <w:ilvl w:val="0"/>
          <w:numId w:val="1012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 the expression</w:t>
      </w:r>
      <w:r>
        <w:t xml:space="preserve"> </w:t>
      </w:r>
      <w:r>
        <w:rPr>
          <w:rStyle w:val="VerbatimChar"/>
        </w:rPr>
        <w:t xml:space="preserve">copy = list(items)</w:t>
      </w:r>
      <w:r>
        <w:t xml:space="preserve">. This is a critical step that allocates a new list in memory, preventing any changes to the original list that was passed as an argument.</w:t>
      </w:r>
    </w:p>
    <w:p>
      <w:pPr>
        <w:numPr>
          <w:ilvl w:val="0"/>
          <w:numId w:val="101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the newly created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function, from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module, shuffles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</w:t>
      </w:r>
      <w:r>
        <w:t xml:space="preserve"> </w:t>
      </w:r>
      <w:r>
        <w:rPr>
          <w:i/>
          <w:iCs/>
        </w:rPr>
        <w:t xml:space="preserve">in-place</w:t>
      </w:r>
      <w:r>
        <w:t xml:space="preserve">, rearranging them into a random permutation.</w:t>
      </w:r>
    </w:p>
    <w:p>
      <w:pPr>
        <w:numPr>
          <w:ilvl w:val="0"/>
          <w:numId w:val="1012"/>
        </w:numPr>
      </w:pPr>
      <w:r>
        <w:t xml:space="preserve">Finally, the function returns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which now contains the same elements as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but in a new, randomized order.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3"/>
        </w:numPr>
      </w:pPr>
      <w:r>
        <w:t xml:space="preserve">The primary feature of this function is that it is non-mutating. The original list passed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 will not be changed.</w:t>
      </w:r>
    </w:p>
    <w:p>
      <w:pPr>
        <w:pStyle w:val="Compact"/>
        <w:numPr>
          <w:ilvl w:val="0"/>
          <w:numId w:val="1013"/>
        </w:numPr>
      </w:pPr>
      <w:r>
        <w:t xml:space="preserve">This function requires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included in your script before using this function.</w:t>
      </w:r>
    </w:p>
    <w:p>
      <w:pPr>
        <w:pStyle w:val="Compact"/>
        <w:numPr>
          <w:ilvl w:val="0"/>
          <w:numId w:val="1013"/>
        </w:numPr>
      </w:pPr>
      <w:r>
        <w:t xml:space="preserve">Although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function’s logic will work correctly with lists containing elements of any data type (e.g., strings, floats, or objects).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 </w:t>
      </w:r>
      <w:r>
        <w:t xml:space="preserve">could be:</w:t>
      </w:r>
    </w:p>
    <w:p>
      <w:pPr>
        <w:pStyle w:val="SourceCode"/>
      </w:pPr>
      <w:r>
        <w:rPr>
          <w:rStyle w:val="VerbatimChar"/>
        </w:rPr>
        <w:t xml:space="preserve">[4, 1, 5, 2, 3]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The function relies on the 'random' module.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Another example with different data types</w:t>
      </w:r>
      <w:r>
        <w:br/>
      </w:r>
      <w:r>
        <w:rPr>
          <w:rStyle w:val="NormalTok"/>
        </w:rPr>
        <w:t xml:space="preserve">original_items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shuffle_copy(original_items)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Original Items (unchanged):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original_items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Items: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shuffled_items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(unchanged): [10, 20, 30, 40, 50]</w:t>
      </w:r>
      <w:r>
        <w:br/>
      </w:r>
      <w:r>
        <w:rPr>
          <w:rStyle w:val="VerbatimChar"/>
        </w:rPr>
        <w:t xml:space="preserve">Shuffled Copy: [40, 10, 50, 20, 30]</w:t>
      </w:r>
      <w:r>
        <w:br/>
      </w:r>
      <w:r>
        <w:br/>
      </w:r>
      <w:r>
        <w:rPr>
          <w:rStyle w:val="VerbatimChar"/>
        </w:rPr>
        <w:t xml:space="preserve">Original Items (unchanged): ['apple', 'banana', 'cherry']</w:t>
      </w:r>
      <w:r>
        <w:br/>
      </w:r>
      <w:r>
        <w:rPr>
          <w:rStyle w:val="VerbatimChar"/>
        </w:rPr>
        <w:t xml:space="preserve">Shuffled Items: ['banana', 'cherry', 'apple']</w:t>
      </w:r>
    </w:p>
    <w:p>
      <w:pPr>
        <w:pStyle w:val="FirstParagraph"/>
      </w:pPr>
      <w:r>
        <w:rPr>
          <w:i/>
          <w:iCs/>
        </w:rPr>
        <w:t xml:space="preserve">(Note: The actual order of the elements in the shuffled lists will vary with each execution.)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2025-10-15T07:02:07Z</dcterms:created>
  <dcterms:modified xsi:type="dcterms:W3CDTF">2025-10-15T07:02:07Z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