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add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add(a, b)</w:t>
      </w:r>
    </w:p>
    <w:bookmarkEnd w:id="9"/>
    <w:bookmarkStart w:id="16" w:name="function-add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add(a,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computes the sum of two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Number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function provides a simple mechanism for performing addition. It takes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which are expected to be numbers. The core logic of the function uses the standard addition operator (</w:t>
      </w:r>
      <w:r>
        <w:rPr>
          <w:rStyle w:val="VerbatimChar"/>
        </w:rPr>
        <w:t xml:space="preserve">+</w:t>
      </w:r>
      <w:r>
        <w:t xml:space="preserve">) to calculate the sum of these two parameters. The result of this operation is then returned as the function’s output.</w:t>
      </w:r>
    </w:p>
    <w:p>
      <w:pPr>
        <w:pStyle w:val="SourceCode"/>
      </w:pPr>
      <w:r>
        <w:rPr>
          <w:rStyle w:val="CommentTok"/>
        </w:rPr>
        <w:t xml:space="preserve">// The function returns the sum of its two arguments.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intended for numeric addition. If non-numeric types (like strings) are passed, JavaScript’s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will perform concatenation instead of mathematical addition, which may lead to unexpected behavior.</w:t>
      </w:r>
    </w:p>
    <w:p>
      <w:pPr>
        <w:pStyle w:val="Compact"/>
        <w:numPr>
          <w:ilvl w:val="0"/>
          <w:numId w:val="1001"/>
        </w:numPr>
      </w:pPr>
      <w:r>
        <w:t xml:space="preserve">The function correctly handles both integer and floating-point numbers.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successful call to</w:t>
      </w:r>
      <w:r>
        <w:t xml:space="preserve"> </w:t>
      </w:r>
      <w:r>
        <w:rPr>
          <w:rStyle w:val="VerbatimChar"/>
        </w:rPr>
        <w:t xml:space="preserve">add(10, 5)</w:t>
      </w:r>
      <w:r>
        <w:t xml:space="preserve"> </w:t>
      </w:r>
      <w:r>
        <w:t xml:space="preserve">will return the number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</w:t>
      </w:r>
      <w:r>
        <w:rPr>
          <w:rStyle w:val="NormalTok"/>
        </w:rPr>
        <w:t xml:space="preserve">(num1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num2)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22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factorialn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factorial(n)</w:t>
      </w:r>
    </w:p>
    <w:bookmarkEnd w:id="15"/>
    <w:bookmarkEnd w:id="16"/>
    <w:bookmarkStart w:id="23" w:name="function-factorialn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factorial(n)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factorial</w:t>
      </w:r>
      <w:r>
        <w:t xml:space="preserve"> </w:t>
      </w:r>
      <w:r>
        <w:t xml:space="preserve">function recursively calculates the factorial of a given non-negative integer.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(Number): The non-negative integer for which the factorial will be calculated.</w:t>
      </w:r>
    </w:p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implements the mathematical concept of a factorial, denoted as</w:t>
      </w:r>
      <w:r>
        <w:t xml:space="preserve"> </w:t>
      </w:r>
      <w:r>
        <w:rPr>
          <w:rStyle w:val="VerbatimChar"/>
        </w:rPr>
        <w:t xml:space="preserve">n!</w:t>
      </w:r>
      <w:r>
        <w:t xml:space="preserve">, which is the product of all positive integers up to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implementation uses recursion to achieve this.</w:t>
      </w:r>
    </w:p>
    <w:p>
      <w:pPr>
        <w:pStyle w:val="BodyText"/>
      </w:pPr>
      <w:r>
        <w:t xml:space="preserve">The core logic is contained within a single conditional (ternary) expression:</w:t>
      </w:r>
      <w:r>
        <w:t xml:space="preserve"> </w:t>
      </w:r>
      <w:r>
        <w:rPr>
          <w:rStyle w:val="VerbatimChar"/>
        </w:rPr>
        <w:t xml:space="preserve">n &lt;= 1 ? 1 : n * factorial(n - 1)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Base Case</w:t>
      </w:r>
      <w:r>
        <w:t xml:space="preserve">: The recursion terminates when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less than or equal to 1. By definition, the factorial of 1 (</w:t>
      </w:r>
      <w:r>
        <w:rPr>
          <w:rStyle w:val="VerbatimChar"/>
        </w:rPr>
        <w:t xml:space="preserve">1!</w:t>
      </w:r>
      <w:r>
        <w:t xml:space="preserve">) is 1, and the factorial of 0 (</w:t>
      </w:r>
      <w:r>
        <w:rPr>
          <w:rStyle w:val="VerbatimChar"/>
        </w:rPr>
        <w:t xml:space="preserve">0!</w:t>
      </w:r>
      <w:r>
        <w:t xml:space="preserve">) is also 1. The function returns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in these cases, which provides the essential stopping condition for the recursive calls.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Recursive Step</w:t>
      </w:r>
      <w:r>
        <w:t xml:space="preserve">: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greater than 1, the function multiplies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by the result of calling itself with the argument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. This creates a chain of calls, each with a decremented number, until the base case is reached.</w:t>
      </w:r>
    </w:p>
    <w:p>
      <w:pPr>
        <w:pStyle w:val="FirstParagraph"/>
      </w:pPr>
      <w:r>
        <w:t xml:space="preserve">For instance, calculating</w:t>
      </w:r>
      <w:r>
        <w:t xml:space="preserve"> </w:t>
      </w:r>
      <w:r>
        <w:rPr>
          <w:rStyle w:val="VerbatimChar"/>
        </w:rPr>
        <w:t xml:space="preserve">factorial(4)</w:t>
      </w:r>
      <w:r>
        <w:t xml:space="preserve"> </w:t>
      </w:r>
      <w:r>
        <w:t xml:space="preserve">unfolds as follows:</w:t>
      </w:r>
    </w:p>
    <w:p>
      <w:pPr>
        <w:pStyle w:val="SourceCode"/>
      </w:pP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returns 4 * factorial(3)</w:t>
      </w:r>
      <w:r>
        <w:br/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returns 3 * factorial(2)</w:t>
      </w:r>
      <w:r>
        <w:br/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returns 2 * factorial(1)</w:t>
      </w:r>
      <w:r>
        <w:br/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// returns 1 (base case)</w:t>
      </w:r>
    </w:p>
    <w:p>
      <w:pPr>
        <w:pStyle w:val="FirstParagraph"/>
      </w:pPr>
      <w:r>
        <w:t xml:space="preserve">The final result is the product of the values from each step:</w:t>
      </w:r>
      <w:r>
        <w:t xml:space="preserve"> </w:t>
      </w:r>
      <w:r>
        <w:rPr>
          <w:rStyle w:val="VerbatimChar"/>
        </w:rPr>
        <w:t xml:space="preserve">4 * 3 * 2 * 1 = 24</w:t>
      </w:r>
      <w:r>
        <w:t xml:space="preserve">.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4"/>
        </w:numPr>
      </w:pPr>
      <w:r>
        <w:t xml:space="preserve">This function is recursive. Providing a very large number as input can lead to a</w:t>
      </w:r>
      <w:r>
        <w:t xml:space="preserve"> </w:t>
      </w:r>
      <w:r>
        <w:t xml:space="preserve">“Maximum call stack size exceeded”</w:t>
      </w:r>
      <w:r>
        <w:t xml:space="preserve"> </w:t>
      </w:r>
      <w:r>
        <w:t xml:space="preserve">error, as each recursive call consumes memory on the call stack.</w:t>
      </w:r>
    </w:p>
    <w:p>
      <w:pPr>
        <w:pStyle w:val="Compact"/>
        <w:numPr>
          <w:ilvl w:val="0"/>
          <w:numId w:val="1004"/>
        </w:numPr>
      </w:pPr>
      <w:r>
        <w:t xml:space="preserve">The function is intended for non-negative integers. Passing a negative number will cause an infinite recursion, ultimately resulting in a stack overflow.</w:t>
      </w:r>
    </w:p>
    <w:p>
      <w:pPr>
        <w:pStyle w:val="Compact"/>
        <w:numPr>
          <w:ilvl w:val="0"/>
          <w:numId w:val="1004"/>
        </w:numPr>
      </w:pPr>
      <w:r>
        <w:t xml:space="preserve">While the function will execute with floating-point numbers, the factorial concept is traditionally defined only for non-negative integers.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 </w:t>
      </w:r>
      <w:r>
        <w:t xml:space="preserve">representing the calculated factorial.</w:t>
      </w:r>
    </w:p>
    <w:p>
      <w:pPr>
        <w:pStyle w:val="SourceCode"/>
      </w:pPr>
      <w:r>
        <w:rPr>
          <w:rStyle w:val="VerbatimChar"/>
        </w:rPr>
        <w:t xml:space="preserve">120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number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(number)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120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greetname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greet(name)</w:t>
      </w:r>
    </w:p>
    <w:bookmarkEnd w:id="22"/>
    <w:bookmarkEnd w:id="23"/>
    <w:bookmarkStart w:id="29" w:name="function-gree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greet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function logs a personalized greeting message to the console.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name</w:t>
      </w:r>
      <w:r>
        <w:t xml:space="preserve"> </w:t>
      </w:r>
      <w:r>
        <w:t xml:space="preserve">(string): The name to be included in the greeting message.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greet</w:t>
      </w:r>
      <w:r>
        <w:t xml:space="preserve"> </w:t>
      </w:r>
      <w:r>
        <w:t xml:space="preserve">function provides a simple way to display a formatted greeting. It accepts a single string argument,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. The function’s core logic uses</w:t>
      </w:r>
      <w:r>
        <w:t xml:space="preserve"> </w:t>
      </w:r>
      <w:r>
        <w:rPr>
          <w:rStyle w:val="VerbatimChar"/>
        </w:rPr>
        <w:t xml:space="preserve">console.log()</w:t>
      </w:r>
      <w:r>
        <w:t xml:space="preserve"> </w:t>
      </w:r>
      <w:r>
        <w:t xml:space="preserve">to print a message to the standard output, typically the browser’s developer console or a terminal environment.</w:t>
      </w:r>
    </w:p>
    <w:p>
      <w:pPr>
        <w:pStyle w:val="BodyText"/>
      </w:pPr>
      <w:r>
        <w:t xml:space="preserve">The message itself is constructed using a JavaScript template literal:</w:t>
      </w:r>
      <w:r>
        <w:t xml:space="preserve"> </w:t>
      </w:r>
      <w:r>
        <w:rPr>
          <w:rStyle w:val="VerbatimChar"/>
        </w:rPr>
        <w:t xml:space="preserve">`Hello, ${name}!`</w:t>
      </w:r>
      <w:r>
        <w:t xml:space="preserve">. This syntax allows the value of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parameter to be directly embedded within the string, creating a personalized greeting.</w:t>
      </w:r>
    </w:p>
    <w:p>
      <w:pPr>
        <w:pStyle w:val="SourceCode"/>
      </w:pPr>
      <w:r>
        <w:rPr>
          <w:rStyle w:val="CommentTok"/>
        </w:rPr>
        <w:t xml:space="preserve">// The function takes a 'name' and logs a greeting.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 template literal is used to embed the 'name' variable into the string.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`Hello,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!`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This function does not return any value; its sole purpose is to produce a side effect by logging output to the console.</w:t>
      </w:r>
    </w:p>
    <w:p>
      <w:pPr>
        <w:pStyle w:val="Compact"/>
        <w:numPr>
          <w:ilvl w:val="0"/>
          <w:numId w:val="1006"/>
        </w:numPr>
      </w:pPr>
      <w:r>
        <w:t xml:space="preserve">While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parameter is expected to be a string, JavaScript’s type coercion will attempt to convert any non-string value passed to it into a string for the output. For instance,</w:t>
      </w:r>
      <w:r>
        <w:t xml:space="preserve"> </w:t>
      </w:r>
      <w:r>
        <w:rPr>
          <w:rStyle w:val="VerbatimChar"/>
        </w:rPr>
        <w:t xml:space="preserve">greet(123)</w:t>
      </w:r>
      <w:r>
        <w:t xml:space="preserve"> </w:t>
      </w:r>
      <w:r>
        <w:t xml:space="preserve">will log</w:t>
      </w:r>
      <w:r>
        <w:t xml:space="preserve"> </w:t>
      </w:r>
      <w:r>
        <w:t xml:space="preserve">“Hello, 123!”</w:t>
      </w:r>
      <w:r>
        <w:t xml:space="preserve">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// Example usage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FunctionTok"/>
        </w:rPr>
        <w:t xml:space="preserve">greet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Hello, World!</w:t>
      </w:r>
      <w:r>
        <w:br/>
      </w:r>
      <w:r>
        <w:rPr>
          <w:rStyle w:val="VerbatimChar"/>
        </w:rPr>
        <w:t xml:space="preserve">Hello, Alice!</w:t>
      </w:r>
    </w:p>
    <w:p>
      <w:r>
        <w:pict>
          <v:rect style="width:0;height:1.5pt" o:hralign="center" o:hrstd="t" o:hr="t"/>
        </w:pict>
      </w:r>
    </w:p>
    <w:bookmarkEnd w:id="28"/>
    <w:bookmarkEnd w:id="29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2025-10-21T08:14:54Z</dcterms:created>
  <dcterms:modified xsi:type="dcterms:W3CDTF">2025-10-21T08:14:54Z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