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 Medical - AI System Integration Report</w:t>
      </w:r>
    </w:p>
    <w:p>
      <w:pPr>
        <w:pStyle w:val="Heading2"/>
      </w:pPr>
      <w:r>
        <w:t>1. Introduction</w:t>
      </w:r>
    </w:p>
    <w:p>
      <w:r>
        <w:t>This report summarizes the architecture and performance of the GE Medical AI System. The project aims to enhance diagnostic accuracy across 12 hospitals using advanced deep learning models.</w:t>
      </w:r>
    </w:p>
    <w:p>
      <w:pPr>
        <w:pStyle w:val="Heading2"/>
      </w:pPr>
      <w:r>
        <w:t>2. Dataset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Dataset Type</w:t>
            </w:r>
          </w:p>
        </w:tc>
        <w:tc>
          <w:tcPr>
            <w:tcW w:type="dxa" w:w="2880"/>
          </w:tcPr>
          <w:p>
            <w:r>
              <w:t>Number of Records</w:t>
            </w:r>
          </w:p>
        </w:tc>
        <w:tc>
          <w:tcPr>
            <w:tcW w:type="dxa" w:w="2880"/>
          </w:tcPr>
          <w:p>
            <w:r>
              <w:t>Size (GB)</w:t>
            </w:r>
          </w:p>
        </w:tc>
      </w:tr>
      <w:tr>
        <w:tc>
          <w:tcPr>
            <w:tcW w:type="dxa" w:w="2880"/>
          </w:tcPr>
          <w:p>
            <w:r>
              <w:t>MRI Scans</w:t>
            </w:r>
          </w:p>
        </w:tc>
        <w:tc>
          <w:tcPr>
            <w:tcW w:type="dxa" w:w="2880"/>
          </w:tcPr>
          <w:p>
            <w:r>
              <w:t>25,340</w:t>
            </w:r>
          </w:p>
        </w:tc>
        <w:tc>
          <w:tcPr>
            <w:tcW w:type="dxa" w:w="2880"/>
          </w:tcPr>
          <w:p>
            <w:r>
              <w:t>62.4</w:t>
            </w:r>
          </w:p>
        </w:tc>
      </w:tr>
      <w:tr>
        <w:tc>
          <w:tcPr>
            <w:tcW w:type="dxa" w:w="2880"/>
          </w:tcPr>
          <w:p>
            <w:r>
              <w:t>CT Scans</w:t>
            </w:r>
          </w:p>
        </w:tc>
        <w:tc>
          <w:tcPr>
            <w:tcW w:type="dxa" w:w="2880"/>
          </w:tcPr>
          <w:p>
            <w:r>
              <w:t>18,900</w:t>
            </w:r>
          </w:p>
        </w:tc>
        <w:tc>
          <w:tcPr>
            <w:tcW w:type="dxa" w:w="2880"/>
          </w:tcPr>
          <w:p>
            <w:r>
              <w:t>48.1</w:t>
            </w:r>
          </w:p>
        </w:tc>
      </w:tr>
      <w:tr>
        <w:tc>
          <w:tcPr>
            <w:tcW w:type="dxa" w:w="2880"/>
          </w:tcPr>
          <w:p>
            <w:r>
              <w:t>X-ray Images</w:t>
            </w:r>
          </w:p>
        </w:tc>
        <w:tc>
          <w:tcPr>
            <w:tcW w:type="dxa" w:w="2880"/>
          </w:tcPr>
          <w:p>
            <w:r>
              <w:t>40,120</w:t>
            </w:r>
          </w:p>
        </w:tc>
        <w:tc>
          <w:tcPr>
            <w:tcW w:type="dxa" w:w="2880"/>
          </w:tcPr>
          <w:p>
            <w:r>
              <w:t>73.6</w:t>
            </w:r>
          </w:p>
        </w:tc>
      </w:tr>
      <w:tr>
        <w:tc>
          <w:tcPr>
            <w:tcW w:type="dxa" w:w="2880"/>
          </w:tcPr>
          <w:p>
            <w:r>
              <w:t>EHR Data</w:t>
            </w:r>
          </w:p>
        </w:tc>
        <w:tc>
          <w:tcPr>
            <w:tcW w:type="dxa" w:w="2880"/>
          </w:tcPr>
          <w:p>
            <w:r>
              <w:t>125,000</w:t>
            </w:r>
          </w:p>
        </w:tc>
        <w:tc>
          <w:tcPr>
            <w:tcW w:type="dxa" w:w="2880"/>
          </w:tcPr>
          <w:p>
            <w:r>
              <w:t>12.8</w:t>
            </w:r>
          </w:p>
        </w:tc>
      </w:tr>
    </w:tbl>
    <w:p>
      <w:r>
        <w:t>The combined dataset contains approximately 209,360 samples totaling 196.9 GB.</w:t>
      </w:r>
    </w:p>
    <w:p>
      <w:pPr>
        <w:pStyle w:val="Heading2"/>
      </w:pPr>
      <w:r>
        <w:t>3. Model Performance Metrics</w:t>
      </w:r>
    </w:p>
    <w:p>
      <w:r>
        <w:t>Three AI models were evaluated on the validation dataset (20% split):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Name</w:t>
            </w:r>
          </w:p>
        </w:tc>
        <w:tc>
          <w:tcPr>
            <w:tcW w:type="dxa" w:w="2160"/>
          </w:tcPr>
          <w:p>
            <w:r>
              <w:t>Accuracy (%)</w:t>
            </w:r>
          </w:p>
        </w:tc>
        <w:tc>
          <w:tcPr>
            <w:tcW w:type="dxa" w:w="2160"/>
          </w:tcPr>
          <w:p>
            <w:r>
              <w:t>Precision (%)</w:t>
            </w:r>
          </w:p>
        </w:tc>
        <w:tc>
          <w:tcPr>
            <w:tcW w:type="dxa" w:w="2160"/>
          </w:tcPr>
          <w:p>
            <w:r>
              <w:t>Recall (%)</w:t>
            </w:r>
          </w:p>
        </w:tc>
      </w:tr>
      <w:tr>
        <w:tc>
          <w:tcPr>
            <w:tcW w:type="dxa" w:w="2160"/>
          </w:tcPr>
          <w:p>
            <w:r>
              <w:t>ResNet50</w:t>
            </w:r>
          </w:p>
        </w:tc>
        <w:tc>
          <w:tcPr>
            <w:tcW w:type="dxa" w:w="2160"/>
          </w:tcPr>
          <w:p>
            <w:r>
              <w:t>94.3</w:t>
            </w:r>
          </w:p>
        </w:tc>
        <w:tc>
          <w:tcPr>
            <w:tcW w:type="dxa" w:w="2160"/>
          </w:tcPr>
          <w:p>
            <w:r>
              <w:t>92.8</w:t>
            </w:r>
          </w:p>
        </w:tc>
        <w:tc>
          <w:tcPr>
            <w:tcW w:type="dxa" w:w="2160"/>
          </w:tcPr>
          <w:p>
            <w:r>
              <w:t>91.5</w:t>
            </w:r>
          </w:p>
        </w:tc>
      </w:tr>
      <w:tr>
        <w:tc>
          <w:tcPr>
            <w:tcW w:type="dxa" w:w="2160"/>
          </w:tcPr>
          <w:p>
            <w:r>
              <w:t>EfficientNet-B3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94.7</w:t>
            </w:r>
          </w:p>
        </w:tc>
        <w:tc>
          <w:tcPr>
            <w:tcW w:type="dxa" w:w="2160"/>
          </w:tcPr>
          <w:p>
            <w:r>
              <w:t>94.2</w:t>
            </w:r>
          </w:p>
        </w:tc>
      </w:tr>
      <w:tr>
        <w:tc>
          <w:tcPr>
            <w:tcW w:type="dxa" w:w="2160"/>
          </w:tcPr>
          <w:p>
            <w:r>
              <w:t>ViT-Base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96.9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</w:tr>
    </w:tbl>
    <w:p>
      <w:r>
        <w:t>Among all models, ViT-Base achieved the highest overall accuracy of 97.5%.</w:t>
      </w:r>
    </w:p>
    <w:p>
      <w:pPr>
        <w:pStyle w:val="Heading2"/>
      </w:pPr>
      <w:r>
        <w:t>4. System Throughput</w:t>
      </w:r>
    </w:p>
    <w:p>
      <w:r>
        <w:t>Average inference time per image: 0.34 seconds</w:t>
        <w:br/>
        <w:t>Peak throughput: 220 images/minute</w:t>
        <w:br/>
        <w:t>GPU Utilization: 86%</w:t>
        <w:br/>
        <w:t>Server Specs: 4×NVIDIA A100 GPUs, 256 GB RAM, 48-Core CPU</w:t>
      </w:r>
    </w:p>
    <w:p>
      <w:pPr>
        <w:pStyle w:val="Heading2"/>
      </w:pPr>
      <w:r>
        <w:t>5. Deployment &amp; Usage</w:t>
      </w:r>
    </w:p>
    <w:p>
      <w:r>
        <w:t>• Deployed in 12 hospitals across 3 countries</w:t>
        <w:br/>
        <w:t>• Daily active users (avg): 142 doctors</w:t>
        <w:br/>
        <w:t>• API request volume: 4,500 requests/day</w:t>
        <w:br/>
        <w:t>• Uptime: 99.97% in the last 90 days</w:t>
      </w:r>
    </w:p>
    <w:p>
      <w:pPr>
        <w:pStyle w:val="Heading2"/>
      </w:pPr>
      <w:r>
        <w:t>6. Conclusion</w:t>
      </w:r>
    </w:p>
    <w:p>
      <w:r>
        <w:t>The GE Medical AI System demonstrates high performance and scalability in real-world healthcare environments. Future work involves expanding model training to include multimodal data from wearable sensors and genomics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