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Partial</w:t>
      </w:r>
      <w:r>
        <w:t xml:space="preserve"> </w:t>
      </w:r>
      <w:r>
        <w:t xml:space="preserve">Differential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Diffusion-Reaction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Ellison,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-partial-differential-equation-libraries"/>
      <w:bookmarkEnd w:id="21"/>
      <w:r>
        <w:t xml:space="preserve">Load Partial Differential Equation Libraries</w:t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(deSolve)))</w:t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(ReacTran)))</w:t>
      </w:r>
    </w:p>
    <w:p>
      <w:pPr>
        <w:pStyle w:val="Heading2"/>
      </w:pPr>
      <w:bookmarkStart w:id="22" w:name="explained-1d-diffusion-reaction-equation-initial-values-and-boundary-conditions"/>
      <w:bookmarkEnd w:id="22"/>
      <w:r>
        <w:t xml:space="preserve">Explained 1D Diffusion-Reaction Equation Initial Values and Boundary Conditions</w:t>
      </w:r>
    </w:p>
    <w:p>
      <w:pPr>
        <w:pStyle w:val="FirstParagraph"/>
      </w:pPr>
      <w:r>
        <w:t xml:space="preserve">In this example we consider the 1_D diffusion-reaction model:</w:t>
      </w:r>
    </w:p>
    <w:p>
      <w:pPr>
        <w:pStyle w:val="BodyText"/>
      </w:pPr>
      <m:oMath>
        <m:f>
          <m:fPr>
            <m:type m:val="bar"/>
          </m:fPr>
          <m:num>
            <m:r>
              <m:t>∂</m:t>
            </m:r>
            <m:r>
              <m:t>C</m:t>
            </m:r>
          </m:num>
          <m:den>
            <m:r>
              <m:t>∂</m:t>
            </m:r>
            <m:r>
              <m:t>t</m:t>
            </m:r>
          </m:den>
        </m:f>
        <m:r>
          <m:t>=</m:t>
        </m:r>
        <m:f>
          <m:fPr>
            <m:type m:val="bar"/>
          </m:fPr>
          <m:num>
            <m:r>
              <m:t>∂</m:t>
            </m:r>
          </m:num>
          <m:den>
            <m:r>
              <m:t>∂</m:t>
            </m:r>
            <m:r>
              <m:t>x</m:t>
            </m:r>
          </m:den>
        </m:f>
        <m:d>
          <m:dPr>
            <m:begChr m:val="("/>
            <m:endChr m:val=")"/>
            <m:grow/>
          </m:dPr>
          <m:e>
            <m:r>
              <m:t>D</m:t>
            </m:r>
            <m:r>
              <m:t>⋅</m:t>
            </m:r>
            <m:f>
              <m:fPr>
                <m:type m:val="bar"/>
              </m:fPr>
              <m:num>
                <m:r>
                  <m:t>∂</m:t>
                </m:r>
                <m:r>
                  <m:t>C</m:t>
                </m:r>
              </m:num>
              <m:den>
                <m:r>
                  <m:t>∂</m:t>
                </m:r>
                <m:r>
                  <m:t>x</m:t>
                </m:r>
              </m:den>
            </m:f>
          </m:e>
        </m:d>
        <m:r>
          <m:t>−</m:t>
        </m:r>
        <m:r>
          <m:t>Q</m:t>
        </m:r>
      </m:oMath>
      <w:r>
        <w:br w:type="textWrapping"/>
      </w:r>
      <w:r>
        <w:t xml:space="preserve">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the concentration,</w:t>
      </w:r>
      <w:r>
        <w:br w:type="textWrapping"/>
      </w:r>
      <m:oMath>
        <m:r>
          <m:t>t</m:t>
        </m:r>
      </m:oMath>
      <w:r>
        <w:t xml:space="preserve"> </w:t>
      </w:r>
      <w:r>
        <w:t xml:space="preserve">the time,</w:t>
      </w:r>
      <w:r>
        <w:br w:type="textWrapping"/>
      </w:r>
      <m:oMath>
        <m:r>
          <m:t>x</m:t>
        </m:r>
      </m:oMath>
      <w:r>
        <w:t xml:space="preserve"> </w:t>
      </w:r>
      <w:r>
        <w:t xml:space="preserve">the distance from the origin,</w:t>
      </w:r>
      <w:r>
        <w:br w:type="textWrapping"/>
      </w:r>
      <m:oMath>
        <m:r>
          <m:t>Q</m:t>
        </m:r>
      </m:oMath>
      <w:r>
        <w:t xml:space="preserve"> </w:t>
      </w:r>
      <w:r>
        <w:t xml:space="preserve">the comsumption rate,</w:t>
      </w:r>
      <w:r>
        <w:br w:type="textWrapping"/>
      </w:r>
      <w:r>
        <w:t xml:space="preserve">and the following boundery conditions:</w:t>
      </w:r>
      <w:r>
        <w:t xml:space="preserve"> </w:t>
      </w:r>
      <m:oMath>
        <m:f>
          <m:fPr>
            <m:type m:val="bar"/>
          </m:fPr>
          <m:num>
            <m:r>
              <m:t>∂</m:t>
            </m:r>
            <m:r>
              <m:t>C</m:t>
            </m:r>
          </m:num>
          <m:den>
            <m:r>
              <m:t>∂</m:t>
            </m:r>
            <m:sSub>
              <m:e>
                <m:r>
                  <m:t>x</m:t>
                </m:r>
              </m:e>
              <m:sub>
                <m:r>
                  <m:t>x</m:t>
                </m:r>
                <m:r>
                  <m:t>=</m:t>
                </m:r>
                <m:r>
                  <m:t>0</m:t>
                </m:r>
              </m:sub>
            </m:sSub>
          </m:den>
        </m:f>
        <m:r>
          <m:t>=</m:t>
        </m:r>
        <m:r>
          <m:t>0</m:t>
        </m:r>
      </m:oMath>
      <w:r>
        <w:br w:type="textWrapping"/>
      </w:r>
      <m:oMath>
        <m:sSub>
          <m:e>
            <m:r>
              <m:t>C</m:t>
            </m:r>
          </m:e>
          <m:sub>
            <m:r>
              <m:t>x</m:t>
            </m:r>
            <m:r>
              <m:t>=</m:t>
            </m:r>
            <m:r>
              <m:t>10</m:t>
            </m:r>
          </m:sub>
        </m:sSub>
        <m:r>
          <m:t>=</m:t>
        </m:r>
        <m:sSub>
          <m:e>
            <m:r>
              <m:t>C</m:t>
            </m:r>
          </m:e>
          <m:sub>
            <m:r>
              <m:t>e</m:t>
            </m:r>
            <m:r>
              <m:t>x</m:t>
            </m:r>
            <m:r>
              <m:t>t</m:t>
            </m:r>
          </m:sub>
        </m:sSub>
      </m:oMath>
      <w:r>
        <w:br w:type="textWrapping"/>
      </w:r>
      <w:r>
        <w:t xml:space="preserve">and we create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as 10 cm (</w:t>
      </w:r>
      <w:r>
        <w:rPr>
          <w:b/>
        </w:rPr>
        <w:t xml:space="preserve">L</w:t>
      </w:r>
      <w:r>
        <w:t xml:space="preserve">) into 1000 boxes (</w:t>
      </w:r>
      <w:r>
        <w:rPr>
          <w:b/>
        </w:rPr>
        <w:t xml:space="preserve">N</w:t>
      </w:r>
      <w:r>
        <w:t xml:space="preserve">) e.g. 100mm, or 0.1mm per step</w:t>
      </w:r>
    </w:p>
    <w:p>
      <w:pPr>
        <w:pStyle w:val="Heading2"/>
      </w:pPr>
      <w:bookmarkStart w:id="23" w:name="set-up-coefficients-1d-function"/>
      <w:bookmarkEnd w:id="23"/>
      <w:r>
        <w:t xml:space="preserve">Set up Coefficients &amp; 1D function</w:t>
      </w:r>
    </w:p>
    <w:p>
      <w:pPr>
        <w:pStyle w:val="SourceCode"/>
      </w:pPr>
      <w:r>
        <w:rPr>
          <w:rStyle w:val="NormalTok"/>
        </w:rPr>
        <w:t xml:space="preserve">Grid &lt;-</w:t>
      </w:r>
      <w:r>
        <w:rPr>
          <w:rStyle w:val="KeywordTok"/>
        </w:rPr>
        <w:t xml:space="preserve">setup.grid.1D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#diffusion constant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#uptake rate</w:t>
      </w:r>
      <w:r>
        <w:br w:type="textWrapping"/>
      </w:r>
      <w:r>
        <w:rPr>
          <w:rStyle w:val="NormalTok"/>
        </w:rPr>
        <w:t xml:space="preserve">Cext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pde1D &lt;-function(t, C, params){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tran=</w:t>
      </w:r>
      <w:r>
        <w:rPr>
          <w:rStyle w:val="KeywordTok"/>
        </w:rPr>
        <w:t xml:space="preserve">tran.1D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C.down=</w:t>
      </w:r>
      <w:r>
        <w:rPr>
          <w:rStyle w:val="NormalTok"/>
        </w:rPr>
        <w:t xml:space="preserve">Cext, </w:t>
      </w:r>
      <w:r>
        <w:rPr>
          <w:rStyle w:val="DataTypeTok"/>
        </w:rPr>
        <w:t xml:space="preserve">dx=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Grid)$dC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(tran-Q)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model-the-diffusion-reaction-equation-over-100-time-points-days"/>
      <w:bookmarkEnd w:id="24"/>
      <w:r>
        <w:t xml:space="preserve">Model the Diffusion-Reaction Equation Over 100 Time Points (Days)</w:t>
      </w:r>
    </w:p>
    <w:p>
      <w:pPr>
        <w:pStyle w:val="SourceCode"/>
      </w:pP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#time in days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ode.1D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Grid$N),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times,</w:t>
      </w:r>
      <w:r>
        <w:rPr>
          <w:rStyle w:val="DataTypeTok"/>
        </w:rPr>
        <w:t xml:space="preserve">func=</w:t>
      </w:r>
      <w:r>
        <w:rPr>
          <w:rStyle w:val="NormalTok"/>
        </w:rPr>
        <w:t xml:space="preserve">pde1D,</w:t>
      </w:r>
      <w:r>
        <w:rPr>
          <w:rStyle w:val="DataTypeTok"/>
        </w:rPr>
        <w:t xml:space="preserve">parms=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nspec=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(out[,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last five time points, for positions 1:10 ~1mm</w:t>
      </w:r>
    </w:p>
    <w:p>
      <w:pPr>
        <w:pStyle w:val="SourceCode"/>
      </w:pPr>
      <w:r>
        <w:rPr>
          <w:rStyle w:val="VerbatimChar"/>
        </w:rPr>
        <w:t xml:space="preserve">##        time         1         2         3         4         5         6</w:t>
      </w:r>
      <w:r>
        <w:br w:type="textWrapping"/>
      </w:r>
      <w:r>
        <w:rPr>
          <w:rStyle w:val="VerbatimChar"/>
        </w:rPr>
        <w:t xml:space="preserve">##  [97,]   96 -27.43429 -27.43419 -27.43401 -27.43372 -27.43335 -27.43288</w:t>
      </w:r>
      <w:r>
        <w:br w:type="textWrapping"/>
      </w:r>
      <w:r>
        <w:rPr>
          <w:rStyle w:val="VerbatimChar"/>
        </w:rPr>
        <w:t xml:space="preserve">##  [98,]   97 -27.49682 -27.49672 -27.49654 -27.49626 -27.49588 -27.49541</w:t>
      </w:r>
      <w:r>
        <w:br w:type="textWrapping"/>
      </w:r>
      <w:r>
        <w:rPr>
          <w:rStyle w:val="VerbatimChar"/>
        </w:rPr>
        <w:t xml:space="preserve">##  [99,]   98 -27.55783 -27.55773 -27.55754 -27.55726 -27.55689 -27.55642</w:t>
      </w:r>
      <w:r>
        <w:br w:type="textWrapping"/>
      </w:r>
      <w:r>
        <w:rPr>
          <w:rStyle w:val="VerbatimChar"/>
        </w:rPr>
        <w:t xml:space="preserve">## [100,]   99 -27.61735 -27.61725 -27.61706 -27.61678 -27.61641 -27.61594</w:t>
      </w:r>
      <w:r>
        <w:br w:type="textWrapping"/>
      </w:r>
      <w:r>
        <w:rPr>
          <w:rStyle w:val="VerbatimChar"/>
        </w:rPr>
        <w:t xml:space="preserve">## [101,]  100 -27.67542 -27.67532 -27.67513 -27.67485 -27.67447 -27.67400</w:t>
      </w:r>
      <w:r>
        <w:br w:type="textWrapping"/>
      </w:r>
      <w:r>
        <w:rPr>
          <w:rStyle w:val="VerbatimChar"/>
        </w:rPr>
        <w:t xml:space="preserve">##                7         8         9        10</w:t>
      </w:r>
      <w:r>
        <w:br w:type="textWrapping"/>
      </w:r>
      <w:r>
        <w:rPr>
          <w:rStyle w:val="VerbatimChar"/>
        </w:rPr>
        <w:t xml:space="preserve">##  [97,] -27.43232 -27.43166 -27.43091 -27.43007</w:t>
      </w:r>
      <w:r>
        <w:br w:type="textWrapping"/>
      </w:r>
      <w:r>
        <w:rPr>
          <w:rStyle w:val="VerbatimChar"/>
        </w:rPr>
        <w:t xml:space="preserve">##  [98,] -27.49485 -27.49419 -27.49344 -27.49260</w:t>
      </w:r>
      <w:r>
        <w:br w:type="textWrapping"/>
      </w:r>
      <w:r>
        <w:rPr>
          <w:rStyle w:val="VerbatimChar"/>
        </w:rPr>
        <w:t xml:space="preserve">##  [99,] -27.55585 -27.55520 -27.55444 -27.55360</w:t>
      </w:r>
      <w:r>
        <w:br w:type="textWrapping"/>
      </w:r>
      <w:r>
        <w:rPr>
          <w:rStyle w:val="VerbatimChar"/>
        </w:rPr>
        <w:t xml:space="preserve">## [100,] -27.61537 -27.61471 -27.61396 -27.61311</w:t>
      </w:r>
      <w:r>
        <w:br w:type="textWrapping"/>
      </w:r>
      <w:r>
        <w:rPr>
          <w:rStyle w:val="VerbatimChar"/>
        </w:rPr>
        <w:t xml:space="preserve">## [101,] -27.67344 -27.67278 -27.67202 -27.67118</w:t>
      </w:r>
    </w:p>
    <w:p>
      <w:pPr>
        <w:pStyle w:val="Heading2"/>
      </w:pPr>
      <w:bookmarkStart w:id="25" w:name="visualize-the-diffusion-equation-over-100-days-approximates-steady-state"/>
      <w:bookmarkEnd w:id="25"/>
      <w:r>
        <w:t xml:space="preserve">Visualize the Diffusion Equation over 100 Days, Approximates Steady-State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"Distance (cm)"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"Diffusion PDE"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iffusion_pde_files/figure-docx/Graph%20the%20100%20Time%20Poi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15e1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Partial Differential Model of the Diffusion-Reaction Equation</dc:title>
  <dc:creator>David Ellison, PhD</dc:creator>
  <dcterms:created xsi:type="dcterms:W3CDTF">2017-09-07T12:04:17Z</dcterms:created>
  <dcterms:modified xsi:type="dcterms:W3CDTF">2017-09-07T12:04:17Z</dcterms:modified>
</cp:coreProperties>
</file>