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354"/>
          <w:sz w:val="38"/>
        </w:rPr>
        <w:t>OSCE / SCT Build — Status and Decisions Needed</w:t>
      </w:r>
    </w:p>
    <w:p>
      <w:pPr>
        <w:jc w:val="center"/>
      </w:pPr>
      <w:r>
        <w:rPr>
          <w:color w:val="555555"/>
          <w:sz w:val="20"/>
        </w:rPr>
        <w:t>David Liebovitz, MD  |  July 28, 2026</w:t>
        <w:br/>
        <w:t>Companion to: Final Orders and Oracle Reference Distributions (design proposal)</w:t>
      </w:r>
    </w:p>
    <w:p/>
    <w:p>
      <w:pPr>
        <w:pStyle w:val="Heading1"/>
      </w:pPr>
      <w:r>
        <w:t>1. Where things stand</w:t>
      </w:r>
    </w:p>
    <w:p>
      <w:r>
        <w:rPr>
          <w:b w:val="0"/>
          <w:i w:val="0"/>
        </w:rPr>
        <w:t>The groundwork for the Final Orders / Oracle work is built and running in production. No Final Orders code exists yet — that is the next block of work, and it is not blocked on anything in this document. The items in Section 3 are where the group's input would change what gets built.</w:t>
      </w:r>
    </w:p>
    <w:p>
      <w:r>
        <w:rPr>
          <w:b/>
          <w:i w:val="0"/>
        </w:rPr>
        <w:t xml:space="preserve">One finding worth the group's attention up front. </w:t>
      </w:r>
      <w:r>
        <w:rPr>
          <w:b w:val="0"/>
          <w:i w:val="0"/>
        </w:rPr>
        <w:t>The case generator's deploy process had been silently failing since March. It reported success on every run while continuing to serve a four-month-old build. Everything merged in that window — including the post-finalization case editing that was the top request from the March feedback — was never actually live, despite our documentation saying it had shipped. That is fixed, and every build now carries a visible version stamp so it cannot recur unnoticed. It does mean the editing feature is being tested for the first time now rather than months ago.</w:t>
      </w:r>
    </w:p>
    <w:p>
      <w:pPr>
        <w:pStyle w:val="Heading1"/>
      </w:pPr>
      <w:r>
        <w:t>2. What was built</w:t>
      </w:r>
    </w:p>
    <w:p>
      <w:pPr>
        <w:pStyle w:val="Heading2"/>
      </w:pPr>
      <w:r>
        <w:t>2.1 One case record instead of two disconnected ones</w:t>
      </w:r>
    </w:p>
    <w:p>
      <w:r>
        <w:rPr>
          <w:b w:val="0"/>
          <w:i w:val="0"/>
        </w:rPr>
        <w:t>The generator previously offered a choice between a simulator-compatible format and a full likelihood-ratio format. In practice this was not a choice between two formats but between two disconnected databases that could not be queried together — and the simulator-compatible path was generating the complete diagnostic framework and LR matrix and then discarding them.</w:t>
      </w:r>
    </w:p>
    <w:p>
      <w:r>
        <w:rPr>
          <w:b w:val="0"/>
          <w:i w:val="0"/>
        </w:rPr>
        <w:t>Every case now carries its full analysis in one record: clinical content, diagnostic framework, and likelihood ratios, all joinable. The format choice is gone from the interface. This is what makes Final Orders, Oracle distributions, LR review, and per-case performance tracking possible at all — none of them work while the data is split.</w:t>
      </w:r>
    </w:p>
    <w:p>
      <w:pPr>
        <w:pStyle w:val="Heading2"/>
      </w:pPr>
      <w:r>
        <w:t>2.2 Cases have versions</w:t>
      </w:r>
    </w:p>
    <w:p>
      <w:r>
        <w:rPr>
          <w:b w:val="0"/>
          <w:i w:val="0"/>
        </w:rPr>
        <w:t>Each case now belongs to a stable family and carries an immutable version. Learner runs and any generated analysis reference a specific version rather than the case in general.</w:t>
      </w:r>
    </w:p>
    <w:p>
      <w:r>
        <w:rPr>
          <w:b w:val="0"/>
          <w:i w:val="0"/>
        </w:rPr>
        <w:t>This matters for the research: editing a case after students have run it otherwise makes before-and-after performance data incomparable, with nothing recording that it happened. It also supports authoring variants — the same case with a different patient age or sex — as a first-class operation rather than a manual rewrite.</w:t>
      </w:r>
    </w:p>
    <w:p>
      <w:pPr>
        <w:pStyle w:val="Heading2"/>
      </w:pPr>
      <w:r>
        <w:t>2.3 Student de-identification</w:t>
      </w:r>
    </w:p>
    <w:p>
      <w:r>
        <w:rPr>
          <w:b w:val="0"/>
          <w:i w:val="0"/>
        </w:rPr>
        <w:t>Learners are now instructed to introduce themselves as "Dr. X" — the literal letter — rather than by name or initial. The simulated patient never asks for a name and never repeats one if given. This is implemented in the case content, the simulator prompts, and the learner-facing interface.</w:t>
      </w:r>
    </w:p>
    <w:p>
      <w:r>
        <w:rPr>
          <w:b w:val="0"/>
          <w:i w:val="0"/>
        </w:rPr>
        <w:t>The interface previously said "introduce yourself as Dr. L (or your own initial)". An initial is itself an identifier: in a single-institution cohort, an initial plus a timestamp against a class schedule narrows re-identification considerably. Using a single shared placeholder also inverts the transcript-scrubbing problem from "find any name" to "confirm the only self-name is Dr. X", which is far more reliable.</w:t>
      </w:r>
    </w:p>
    <w:p>
      <w:r>
        <w:rPr>
          <w:b w:val="0"/>
          <w:i/>
        </w:rPr>
        <w:t>Automated transcript redaction and the voice-mode audio retention question remain open; see Section 4.</w:t>
      </w:r>
    </w:p>
    <w:p>
      <w:pPr>
        <w:pStyle w:val="Heading2"/>
      </w:pPr>
      <w:r>
        <w:t>2.4 Likelihood ratios were silently being dropped</w:t>
      </w:r>
    </w:p>
    <w:p>
      <w:r>
        <w:rPr>
          <w:b w:val="0"/>
          <w:i w:val="0"/>
        </w:rPr>
        <w:t>A defect found while reconciling two long-diverged branches: likelihood ratios reference diagnostic categories by name, and the export matched those names exactly. When the language model wrote "Tier 1: Cardiovascular" instead of "Cardiovascular" — which it does inconsistently — the row was dropped from the exported matrix with no error. Name matching is now tolerant of that variation.</w:t>
      </w:r>
    </w:p>
    <w:p>
      <w:r>
        <w:rPr>
          <w:b w:val="0"/>
          <w:i w:val="0"/>
        </w:rPr>
        <w:t>Any LR matrix exported before today should be treated as potentially incomplete. We do not have a count of how many rows were affected historically.</w:t>
      </w:r>
    </w:p>
    <w:p>
      <w:pPr>
        <w:pStyle w:val="Heading2"/>
      </w:pPr>
      <w:r>
        <w:t>2.5 Tier selection</w:t>
      </w:r>
    </w:p>
    <w:p>
      <w:r>
        <w:rPr>
          <w:b w:val="0"/>
          <w:i w:val="0"/>
        </w:rPr>
        <w:t>The export interface offered a diagnostic-tier selector that had no effect — the setting was accepted and discarded, so every export contained all tiers. It now works, and defaults to tier 2 (tier 1 is broad organ-system categories, tier 3 very specific). Re-exporting at a different tier is a dropdown change and a re-download, with no regeneration and no model cost.</w:t>
      </w:r>
    </w:p>
    <w:p>
      <w:r>
        <w:br w:type="page"/>
      </w:r>
    </w:p>
    <w:p>
      <w:pPr>
        <w:pStyle w:val="Heading1"/>
      </w:pPr>
      <w:r>
        <w:t>3. Decisions we would like from the group</w:t>
      </w:r>
    </w:p>
    <w:p>
      <w:r>
        <w:rPr>
          <w:b w:val="0"/>
          <w:i w:val="0"/>
        </w:rPr>
        <w:t>Each has a default we will build to if the group has no preference, so none of these block progress. Full rationale is in the design proposal document, section referenced below.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04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960"/>
          </w:tcPr>
          <w:p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Default if no direction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Adopt the revised learner rating stem?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Adopt it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Proposal §4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Approve the 15-role Oracle panel roster?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Proceed as listed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Proposal §5.4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Include the stewardship / risk-averse panelist pair?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Include them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Proposal §5.4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Does Cory's "fourth notch" reasoning effort mean "medium"?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Use medium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Proposal §5.3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Rename "Final Orders" to "Key Management Decisions"?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Keep "Final Orders"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Proposal §4.3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Split the Oracle panel across two model families?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Single family for v1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Proposal §9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Schedule a small human expert panel for validation?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Propose alongside spring review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Proposal §11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Will UNMC hold the code-to-student key under a written agreement?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Proceed on that assumption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Proposal §9.1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960"/>
          </w:tcPr>
          <w:p>
            <w:r/>
            <w:r>
              <w:rPr>
                <w:sz w:val="19"/>
              </w:rPr>
              <w:t>Who owns IRB determination, and by when?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Unassigned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Proposal §9.4</w:t>
            </w:r>
          </w:p>
        </w:tc>
      </w:tr>
    </w:tbl>
    <w:p/>
    <w:p>
      <w:r>
        <w:rPr>
          <w:b/>
          <w:i w:val="0"/>
        </w:rPr>
        <w:t xml:space="preserve">Questions 1 and 4 are the most time-sensitive. </w:t>
      </w:r>
      <w:r>
        <w:rPr>
          <w:b w:val="0"/>
          <w:i w:val="0"/>
        </w:rPr>
        <w:t>The stem wording determines what the Oracle panel is asked, and changing it later invalidates every distribution generated before the change. The reasoning-effort setting is a one-line configuration but should be confirmed rather than guessed.</w:t>
      </w:r>
    </w:p>
    <w:p>
      <w:r>
        <w:rPr>
          <w:b/>
          <w:i w:val="0"/>
        </w:rPr>
        <w:t xml:space="preserve">Questions 8 and 9 are the ones with an external dependency. </w:t>
      </w:r>
      <w:r>
        <w:rPr>
          <w:b w:val="0"/>
          <w:i w:val="0"/>
        </w:rPr>
        <w:t>Both involve UNMC rather than us, and both are cheap now and expensive later — an IRB determination obtained after data collection begins is a well-known way to lose a dataset.</w:t>
      </w:r>
    </w:p>
    <w:p>
      <w:pPr>
        <w:pStyle w:val="Heading1"/>
      </w:pPr>
      <w:r>
        <w:t>4. Open risks</w:t>
      </w:r>
    </w:p>
    <w:p>
      <w:pPr>
        <w:pStyle w:val="ListBullet"/>
      </w:pPr>
      <w:r>
        <w:rPr>
          <w:b/>
          <w:i w:val="0"/>
        </w:rPr>
        <w:t xml:space="preserve">Voice-mode audio retention. </w:t>
      </w:r>
      <w:r>
        <w:rPr>
          <w:b w:val="0"/>
          <w:i w:val="0"/>
        </w:rPr>
        <w:t>Voice sessions send audio to a third-party vendor. Retained audio of a student's voice is identifying regardless of how clean the transcript is, and is a larger exposure than anything in the text pipeline. Vendor retention settings and the data processing agreement need checking before voice mode is used with real students. Not yet resolved.</w:t>
      </w:r>
    </w:p>
    <w:p>
      <w:pPr>
        <w:pStyle w:val="ListBullet"/>
      </w:pPr>
      <w:r>
        <w:rPr>
          <w:b/>
          <w:i w:val="0"/>
        </w:rPr>
        <w:t xml:space="preserve">Automated transcript redaction is not built. </w:t>
      </w:r>
      <w:r>
        <w:rPr>
          <w:b w:val="0"/>
          <w:i w:val="0"/>
        </w:rPr>
        <w:t>The "Dr. X" convention prevents most name disclosure, but a student can still say their name aloud. Detection and redaction of residual identifiers is designed but not implemented.</w:t>
      </w:r>
    </w:p>
    <w:p>
      <w:pPr>
        <w:pStyle w:val="ListBullet"/>
      </w:pPr>
      <w:r>
        <w:rPr>
          <w:b/>
          <w:i w:val="0"/>
        </w:rPr>
        <w:t xml:space="preserve">Simulator dependency advisories. </w:t>
      </w:r>
      <w:r>
        <w:rPr>
          <w:b w:val="0"/>
          <w:i w:val="0"/>
        </w:rPr>
        <w:t>The simulator's front-end libraries carry 25 open high-severity advisories, including one reachable from a page students load. These predate this work. Remediation is a routine dependency update but should happen before the OSCE pilot.</w:t>
      </w:r>
    </w:p>
    <w:p>
      <w:pPr>
        <w:pStyle w:val="ListBullet"/>
      </w:pPr>
      <w:r>
        <w:rPr>
          <w:b/>
          <w:i w:val="0"/>
        </w:rPr>
        <w:t xml:space="preserve">Model-generated likelihood ratios remain unvalidated. </w:t>
      </w:r>
      <w:r>
        <w:rPr>
          <w:b w:val="0"/>
          <w:i w:val="0"/>
        </w:rPr>
        <w:t>This is the weakest scientific link in the system and is unchanged by today's work. Literature grounding via PubMed is designed but not built; the planned review loop improves internal consistency, not external validity.</w:t>
      </w:r>
    </w:p>
    <w:p>
      <w:pPr>
        <w:pStyle w:val="Heading1"/>
      </w:pPr>
      <w:r>
        <w:t>5. What happens next</w:t>
      </w:r>
    </w:p>
    <w:p>
      <w:r>
        <w:rPr>
          <w:b w:val="0"/>
          <w:i w:val="0"/>
        </w:rPr>
        <w:t>In order, and none of it waiting on Section 3:</w:t>
      </w:r>
    </w:p>
    <w:p>
      <w:pPr>
        <w:pStyle w:val="ListNumber"/>
      </w:pPr>
      <w:r>
        <w:t>Verify the post-finalization case editing flow now that it is genuinely deployed for the first time.</w:t>
      </w:r>
    </w:p>
    <w:p>
      <w:pPr>
        <w:pStyle w:val="ListNumber"/>
      </w:pPr>
      <w:r>
        <w:t>Build Final Orders authoring — up to five author-chosen clinical actions per case, with generator-proposed candidates the author explicitly accepts.</w:t>
      </w:r>
    </w:p>
    <w:p>
      <w:pPr>
        <w:pStyle w:val="ListNumber"/>
      </w:pPr>
      <w:r>
        <w:t>Build the Oracle panel and the item-quality display, so an author can see before shipping whether an item will discriminate between learners.</w:t>
      </w:r>
    </w:p>
    <w:p>
      <w:pPr>
        <w:pStyle w:val="ListNumber"/>
      </w:pPr>
      <w:r>
        <w:t>Simulator work: suppress Final Order results during the encounter and collect learner ratings before any result is revealed.</w:t>
      </w:r>
    </w:p>
    <w:p>
      <w:r>
        <w:rPr>
          <w:b w:val="0"/>
          <w:i/>
        </w:rPr>
        <w:t>Answers to Section 3 are welcome at any point before the Oracle panel step; after that, changes to the stem or panel composition mean regenerating distributions.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3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33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