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354"/>
          <w:sz w:val="44"/>
        </w:rPr>
        <w:t>Final Orders and Oracle Reference Distributions</w:t>
      </w:r>
    </w:p>
    <w:p>
      <w:pPr>
        <w:jc w:val="center"/>
      </w:pPr>
      <w:r>
        <w:rPr>
          <w:i/>
          <w:sz w:val="26"/>
        </w:rPr>
        <w:t>Design proposal for research group review</w:t>
      </w:r>
    </w:p>
    <w:p>
      <w:pPr>
        <w:jc w:val="center"/>
      </w:pPr>
      <w:r>
        <w:rPr>
          <w:color w:val="555555"/>
          <w:sz w:val="20"/>
        </w:rPr>
        <w:t>Prepared by David Liebovitz, MD  |  July 28, 2026  |  Version 0.1 — DRAFT FOR REVIEW</w:t>
        <w:br/>
        <w:t>Repositories: case-gen-entropy (case generator) and direct-sim (simulator)</w:t>
      </w:r>
    </w:p>
    <w:p/>
    <w:p>
      <w:pPr>
        <w:pStyle w:val="Heading1"/>
      </w:pPr>
      <w:r>
        <w:t>1. Summary</w:t>
      </w:r>
    </w:p>
    <w:p>
      <w:r>
        <w:rPr>
          <w:b w:val="0"/>
          <w:i w:val="0"/>
        </w:rPr>
        <w:t>This document responds to Cory's six-week priority request to prepare the OSCE/SCT workflow. It proposes a specific, reviewable methodology for four things: (a) how Final Orders are authored and stored as a foundational case attribute, (b) a revised learner-facing rating stem with justification for the change, (c) how the LLM Oracle reference distribution is generated, blinded, and recorded, and (d) what the simulator must do to keep Final Order results hidden during the encounter.</w:t>
      </w:r>
    </w:p>
    <w:p>
      <w:r>
        <w:rPr>
          <w:b w:val="0"/>
          <w:i w:val="0"/>
        </w:rPr>
        <w:t>Everything below is a proposal. We intend to build it as specified so that Cory and Alex have something testable quickly, but the methodology sections in particular are written to be marked up and returned. The items most likely to need the group's judgment are collected in Section 12.</w:t>
      </w:r>
    </w:p>
    <w:p>
      <w:r>
        <w:rPr>
          <w:b/>
          <w:i w:val="0"/>
        </w:rPr>
        <w:t xml:space="preserve">One framing point worth stating up front. </w:t>
      </w:r>
      <w:r>
        <w:rPr>
          <w:b w:val="0"/>
          <w:i w:val="0"/>
        </w:rPr>
        <w:t>The Oracle produces a model-derived reference distribution, not an expert consensus. We recommend labeling it that way in every artifact — UI, database, and any eventual manuscript — and treating agreement between the model panel and a small human expert panel as a study to run, not an assumption to make. Section 11 proposes that validation step.</w:t>
      </w:r>
    </w:p>
    <w:p>
      <w:pPr>
        <w:pStyle w:val="Heading1"/>
      </w:pPr>
      <w:r>
        <w:t>2. Scope: which repository owns what</w:t>
      </w:r>
    </w:p>
    <w:p>
      <w:r>
        <w:rPr>
          <w:b w:val="0"/>
          <w:i w:val="0"/>
        </w:rPr>
        <w:t>Cory's five requests do not all land in the same codebase. Separating them prevents the simulator work from blocking on the generator work and vice versa.</w:t>
      </w:r>
    </w:p>
    <w:tbl>
      <w:tblPr>
        <w:tblStyle w:val="LightGrid-Accent1"/>
        <w:tblW w:type="auto" w:w="0"/>
        <w:jc w:val="center"/>
        <w:tblLook w:firstColumn="1" w:firstRow="1" w:lastColumn="0" w:lastRow="0" w:noHBand="0" w:noVBand="1" w:val="04A0"/>
      </w:tblPr>
      <w:tblGrid>
        <w:gridCol w:w="2880"/>
        <w:gridCol w:w="2880"/>
        <w:gridCol w:w="2880"/>
      </w:tblGrid>
      <w:tr>
        <w:tc>
          <w:tcPr>
            <w:tcW w:type="dxa" w:w="3744"/>
          </w:tcPr>
          <w:p>
            <w:r/>
            <w:r>
              <w:rPr>
                <w:b/>
                <w:sz w:val="20"/>
              </w:rPr>
              <w:t>Request</w:t>
            </w:r>
          </w:p>
        </w:tc>
        <w:tc>
          <w:tcPr>
            <w:tcW w:type="dxa" w:w="2736"/>
          </w:tcPr>
          <w:p>
            <w:r/>
            <w:r>
              <w:rPr>
                <w:b/>
                <w:sz w:val="20"/>
              </w:rPr>
              <w:t>Owner</w:t>
            </w:r>
          </w:p>
        </w:tc>
        <w:tc>
          <w:tcPr>
            <w:tcW w:type="dxa" w:w="3168"/>
          </w:tcPr>
          <w:p>
            <w:r/>
            <w:r>
              <w:rPr>
                <w:b/>
                <w:sz w:val="20"/>
              </w:rPr>
              <w:t>Status in this proposal</w:t>
            </w:r>
          </w:p>
        </w:tc>
      </w:tr>
      <w:tr>
        <w:tc>
          <w:tcPr>
            <w:tcW w:type="dxa" w:w="3744"/>
          </w:tcPr>
          <w:p>
            <w:r/>
            <w:r>
              <w:rPr>
                <w:sz w:val="19"/>
              </w:rPr>
              <w:t>1. Add Final Orders to the case generator</w:t>
            </w:r>
          </w:p>
        </w:tc>
        <w:tc>
          <w:tcPr>
            <w:tcW w:type="dxa" w:w="2736"/>
          </w:tcPr>
          <w:p>
            <w:r/>
            <w:r>
              <w:rPr>
                <w:sz w:val="19"/>
              </w:rPr>
              <w:t>case-gen-entropy</w:t>
            </w:r>
          </w:p>
        </w:tc>
        <w:tc>
          <w:tcPr>
            <w:tcW w:type="dxa" w:w="3168"/>
          </w:tcPr>
          <w:p>
            <w:r/>
            <w:r>
              <w:rPr>
                <w:sz w:val="19"/>
              </w:rPr>
              <w:t>Specified — Sections 3, 4, 6</w:t>
            </w:r>
          </w:p>
        </w:tc>
      </w:tr>
      <w:tr>
        <w:tc>
          <w:tcPr>
            <w:tcW w:type="dxa" w:w="3744"/>
          </w:tcPr>
          <w:p>
            <w:r/>
            <w:r>
              <w:rPr>
                <w:sz w:val="19"/>
              </w:rPr>
              <w:t>2. Persist as a foundational case attribute</w:t>
            </w:r>
          </w:p>
        </w:tc>
        <w:tc>
          <w:tcPr>
            <w:tcW w:type="dxa" w:w="2736"/>
          </w:tcPr>
          <w:p>
            <w:r/>
            <w:r>
              <w:rPr>
                <w:sz w:val="19"/>
              </w:rPr>
              <w:t>case-gen-entropy + shared DB</w:t>
            </w:r>
          </w:p>
        </w:tc>
        <w:tc>
          <w:tcPr>
            <w:tcW w:type="dxa" w:w="3168"/>
          </w:tcPr>
          <w:p>
            <w:r/>
            <w:r>
              <w:rPr>
                <w:sz w:val="19"/>
              </w:rPr>
              <w:t>Specified — Section 6</w:t>
            </w:r>
          </w:p>
        </w:tc>
      </w:tr>
      <w:tr>
        <w:tc>
          <w:tcPr>
            <w:tcW w:type="dxa" w:w="3744"/>
          </w:tcPr>
          <w:p>
            <w:r/>
            <w:r>
              <w:rPr>
                <w:sz w:val="19"/>
              </w:rPr>
              <w:t>3. Prevent disclosure during the simulation</w:t>
            </w:r>
          </w:p>
        </w:tc>
        <w:tc>
          <w:tcPr>
            <w:tcW w:type="dxa" w:w="2736"/>
          </w:tcPr>
          <w:p>
            <w:r/>
            <w:r>
              <w:rPr>
                <w:sz w:val="19"/>
              </w:rPr>
              <w:t>direct-sim</w:t>
            </w:r>
          </w:p>
        </w:tc>
        <w:tc>
          <w:tcPr>
            <w:tcW w:type="dxa" w:w="3168"/>
          </w:tcPr>
          <w:p>
            <w:r/>
            <w:r>
              <w:rPr>
                <w:sz w:val="19"/>
              </w:rPr>
              <w:t>Specified — Section 7 and companion handoff doc</w:t>
            </w:r>
          </w:p>
        </w:tc>
      </w:tr>
      <w:tr>
        <w:tc>
          <w:tcPr>
            <w:tcW w:type="dxa" w:w="3744"/>
          </w:tcPr>
          <w:p>
            <w:r/>
            <w:r>
              <w:rPr>
                <w:sz w:val="19"/>
              </w:rPr>
              <w:t>4. Generate an Oracle/SCT reference distribution</w:t>
            </w:r>
          </w:p>
        </w:tc>
        <w:tc>
          <w:tcPr>
            <w:tcW w:type="dxa" w:w="2736"/>
          </w:tcPr>
          <w:p>
            <w:r/>
            <w:r>
              <w:rPr>
                <w:sz w:val="19"/>
              </w:rPr>
              <w:t>case-gen-entropy</w:t>
            </w:r>
          </w:p>
        </w:tc>
        <w:tc>
          <w:tcPr>
            <w:tcW w:type="dxa" w:w="3168"/>
          </w:tcPr>
          <w:p>
            <w:r/>
            <w:r>
              <w:rPr>
                <w:sz w:val="19"/>
              </w:rPr>
              <w:t>Specified — Section 5</w:t>
            </w:r>
          </w:p>
        </w:tc>
      </w:tr>
      <w:tr>
        <w:tc>
          <w:tcPr>
            <w:tcW w:type="dxa" w:w="3744"/>
          </w:tcPr>
          <w:p>
            <w:r/>
            <w:r>
              <w:rPr>
                <w:sz w:val="19"/>
              </w:rPr>
              <w:t>5. Integrate consensus into learner feedback</w:t>
            </w:r>
          </w:p>
        </w:tc>
        <w:tc>
          <w:tcPr>
            <w:tcW w:type="dxa" w:w="2736"/>
          </w:tcPr>
          <w:p>
            <w:r/>
            <w:r>
              <w:rPr>
                <w:sz w:val="19"/>
              </w:rPr>
              <w:t>direct-sim (assessment)</w:t>
            </w:r>
          </w:p>
        </w:tc>
        <w:tc>
          <w:tcPr>
            <w:tcW w:type="dxa" w:w="3168"/>
          </w:tcPr>
          <w:p>
            <w:r/>
            <w:r>
              <w:rPr>
                <w:sz w:val="19"/>
              </w:rPr>
              <w:t>Deferred by agreement — Section 8</w:t>
            </w:r>
          </w:p>
        </w:tc>
      </w:tr>
    </w:tbl>
    <w:p/>
    <w:p>
      <w:r>
        <w:rPr>
          <w:b w:val="0"/>
          <w:i w:val="0"/>
        </w:rPr>
        <w:t>Cory's requests are reproduced verbatim in Appendix C, so this response can be checked against what was actually asked. Appendix D shows what the Oracle produces, which is the quickest way to judge the questions in Section 12.</w:t>
      </w:r>
    </w:p>
    <w:p>
      <w:r>
        <w:rPr>
          <w:b w:val="0"/>
          <w:i w:val="0"/>
        </w:rPr>
        <w:t>A companion engineering document, FINAL_ORDERS_TODO.md, has been written into the direct-sim repository. It enumerates the simulator changes, audits the safeguards that already exist there, and identifies six specific gaps. Section 7 summarizes its findings; the full detail lives with the code.</w:t>
      </w:r>
    </w:p>
    <w:p>
      <w:pPr>
        <w:pStyle w:val="Heading1"/>
      </w:pPr>
      <w:r>
        <w:t>3. Final Orders as a case attribute</w:t>
      </w:r>
    </w:p>
    <w:p>
      <w:pPr>
        <w:pStyle w:val="Heading2"/>
      </w:pPr>
      <w:r>
        <w:t>3.1 What the author does</w:t>
      </w:r>
    </w:p>
    <w:p>
      <w:r>
        <w:rPr>
          <w:b w:val="0"/>
          <w:i w:val="0"/>
        </w:rPr>
        <w:t>Each case may carry zero to five Final Orders. A Final Order is a diagnostic test, treatment, consultation, activation, or other clinical action whose appropriateness the learner will rate after the encounter. Examples from Cory: ordering a brain MRI, ordering an echocardiogram, obtaining a PET scan, activating the stroke team.</w:t>
      </w:r>
    </w:p>
    <w:p>
      <w:r>
        <w:rPr>
          <w:b w:val="0"/>
          <w:i w:val="0"/>
        </w:rPr>
        <w:t>The feature is case-specific and optional, with no global administrative toggle. Zero Final Orders means the simulator simply never presents the step. Because the orders live in their own table, "no rows" is unambiguous — this is one reason we prefer a table to a JSON field on the case record.</w:t>
      </w:r>
    </w:p>
    <w:p>
      <w:pPr>
        <w:pStyle w:val="Heading2"/>
      </w:pPr>
      <w:r>
        <w:t>3.2 Generator-proposed candidates, author-decided</w:t>
      </w:r>
    </w:p>
    <w:p>
      <w:r>
        <w:rPr>
          <w:b w:val="0"/>
          <w:i w:val="0"/>
        </w:rPr>
        <w:t>The generator already produces a diagnostic workup list with clinical rationale for every case. We will surface three to five candidate Final Orders drawn from that list, ranked toward the more debatable ones. Per Cory's direction, these are suggestions only: nothing is written to the case until the author explicitly accepts, edits, or replaces it.</w:t>
      </w:r>
    </w:p>
    <w:p>
      <w:r>
        <w:rPr>
          <w:b w:val="0"/>
          <w:i w:val="0"/>
        </w:rPr>
        <w:t xml:space="preserve">We record provenance on each order — </w:t>
      </w:r>
      <w:r>
        <w:rPr>
          <w:b w:val="0"/>
          <w:i/>
        </w:rPr>
        <w:t>author_entered</w:t>
      </w:r>
      <w:r>
        <w:rPr>
          <w:b w:val="0"/>
          <w:i w:val="0"/>
        </w:rPr>
        <w:t xml:space="preserve"> versus </w:t>
      </w:r>
      <w:r>
        <w:rPr>
          <w:b w:val="0"/>
          <w:i/>
        </w:rPr>
        <w:t>llm_suggested_accepted</w:t>
      </w:r>
      <w:r>
        <w:rPr>
          <w:b w:val="0"/>
          <w:i w:val="0"/>
        </w:rPr>
        <w:t xml:space="preserve"> — for a specific methodological reason. If the same model family both proposes an order and rates its appropriateness, the resulting distribution is partly self-fulfilling. Recording provenance lets us test whether it mattered rather than argue about whether it might have. We expect this to be one of the first questions a reviewer asks.</w:t>
      </w:r>
    </w:p>
    <w:p>
      <w:pPr>
        <w:pStyle w:val="Heading2"/>
      </w:pPr>
      <w:r>
        <w:t>3.3 Editing</w:t>
      </w:r>
    </w:p>
    <w:p>
      <w:r>
        <w:rPr>
          <w:b w:val="0"/>
          <w:i w:val="0"/>
        </w:rPr>
        <w:t>Cory indicated the first iteration need not support editing. We recommend including it anyway. Post-finalization case editing was the top item from the March feedback and shipped recently; releasing Final Orders that cannot be edited after finalization would immediately reopen that complaint. The update endpoint already exists, so the incremental cost is small.</w:t>
      </w:r>
    </w:p>
    <w:p>
      <w:r>
        <w:rPr>
          <w:b w:val="0"/>
          <w:i w:val="0"/>
        </w:rPr>
        <w:t>Editing introduces a staleness problem that must be handled explicitly: if the author changes case content or order wording after the Oracle has run, the stored distribution no longer describes the case the learner will see. Section 5.8 specifies content hashing, a staleness banner, and an append-only re-run model. Silent staleness is the most plausible way this dataset gets quietly corrupted.</w:t>
      </w:r>
    </w:p>
    <w:p>
      <w:pPr>
        <w:pStyle w:val="Heading1"/>
      </w:pPr>
      <w:r>
        <w:t>4. Proposed revision to the rating stem</w:t>
      </w:r>
    </w:p>
    <w:p>
      <w:r>
        <w:rPr>
          <w:b w:val="0"/>
          <w:i w:val="0"/>
        </w:rPr>
        <w:t>Cory asked whether we would suggest an alternative to the proposed stem. We would — five changes, of which two are consequential and three are refinements. We propose adopting the revision now and reverting anything the group disagrees with.</w:t>
      </w:r>
    </w:p>
    <w:p>
      <w:pPr>
        <w:pStyle w:val="Heading2"/>
      </w:pPr>
      <w:r>
        <w:t>4.1 Current wording (from Alex)</w:t>
      </w:r>
    </w:p>
    <w:p>
      <w:pPr>
        <w:spacing w:after="80"/>
        <w:ind w:left="432"/>
      </w:pPr>
      <w:r>
        <w:rPr>
          <w:rFonts w:ascii="Consolas" w:hAnsi="Consolas"/>
          <w:sz w:val="19"/>
        </w:rPr>
        <w:t>Considering the information available in this case, the appropriateness of</w:t>
      </w:r>
    </w:p>
    <w:p>
      <w:pPr>
        <w:spacing w:after="80"/>
        <w:ind w:left="432"/>
      </w:pPr>
      <w:r>
        <w:rPr>
          <w:rFonts w:ascii="Consolas" w:hAnsi="Consolas"/>
          <w:sz w:val="19"/>
        </w:rPr>
        <w:t>ordering a brain MRI is:</w:t>
      </w:r>
    </w:p>
    <w:p>
      <w:pPr>
        <w:spacing w:after="80"/>
        <w:ind w:left="432"/>
      </w:pPr>
      <w:r>
        <w:rPr>
          <w:rFonts w:ascii="Consolas" w:hAnsi="Consolas"/>
          <w:sz w:val="19"/>
        </w:rPr>
      </w:r>
    </w:p>
    <w:p>
      <w:pPr>
        <w:spacing w:after="80"/>
        <w:ind w:left="432"/>
      </w:pPr>
      <w:r>
        <w:rPr>
          <w:rFonts w:ascii="Consolas" w:hAnsi="Consolas"/>
          <w:sz w:val="19"/>
        </w:rPr>
        <w:t xml:space="preserve">  -2 = Strongly inappropriate</w:t>
      </w:r>
    </w:p>
    <w:p>
      <w:pPr>
        <w:spacing w:after="80"/>
        <w:ind w:left="432"/>
      </w:pPr>
      <w:r>
        <w:rPr>
          <w:rFonts w:ascii="Consolas" w:hAnsi="Consolas"/>
          <w:sz w:val="19"/>
        </w:rPr>
        <w:t xml:space="preserve">  -1 = Probably inappropriate</w:t>
      </w:r>
    </w:p>
    <w:p>
      <w:pPr>
        <w:spacing w:after="80"/>
        <w:ind w:left="432"/>
      </w:pPr>
      <w:r>
        <w:rPr>
          <w:rFonts w:ascii="Consolas" w:hAnsi="Consolas"/>
          <w:sz w:val="19"/>
        </w:rPr>
        <w:t xml:space="preserve">   0 = Uncertain / depends on additional information</w:t>
      </w:r>
    </w:p>
    <w:p>
      <w:pPr>
        <w:spacing w:after="80"/>
        <w:ind w:left="432"/>
      </w:pPr>
      <w:r>
        <w:rPr>
          <w:rFonts w:ascii="Consolas" w:hAnsi="Consolas"/>
          <w:sz w:val="19"/>
        </w:rPr>
        <w:t xml:space="preserve">  +1 = Reasonable / defensible</w:t>
      </w:r>
    </w:p>
    <w:p>
      <w:pPr>
        <w:spacing w:after="80"/>
        <w:ind w:left="432"/>
      </w:pPr>
      <w:r>
        <w:rPr>
          <w:rFonts w:ascii="Consolas" w:hAnsi="Consolas"/>
          <w:sz w:val="19"/>
        </w:rPr>
        <w:t xml:space="preserve">  +2 = Strongly indicated</w:t>
      </w:r>
    </w:p>
    <w:p>
      <w:pPr>
        <w:pStyle w:val="Heading2"/>
      </w:pPr>
      <w:r>
        <w:t>4.2 Proposed wording</w:t>
      </w:r>
    </w:p>
    <w:p>
      <w:r>
        <w:rPr>
          <w:b/>
          <w:i w:val="0"/>
        </w:rPr>
        <w:t>Learner-facing:</w:t>
      </w:r>
    </w:p>
    <w:p>
      <w:pPr>
        <w:spacing w:after="80"/>
        <w:ind w:left="432"/>
      </w:pPr>
      <w:r>
        <w:rPr>
          <w:rFonts w:ascii="Consolas" w:hAnsi="Consolas"/>
          <w:sz w:val="19"/>
        </w:rPr>
        <w:t>Based on the information you gathered during this encounter, and before any</w:t>
      </w:r>
    </w:p>
    <w:p>
      <w:pPr>
        <w:spacing w:after="80"/>
        <w:ind w:left="432"/>
      </w:pPr>
      <w:r>
        <w:rPr>
          <w:rFonts w:ascii="Consolas" w:hAnsi="Consolas"/>
          <w:sz w:val="19"/>
        </w:rPr>
        <w:t>pending results return, ordering a brain MRI now would be:</w:t>
      </w:r>
    </w:p>
    <w:p>
      <w:pPr>
        <w:spacing w:after="80"/>
        <w:ind w:left="432"/>
      </w:pPr>
      <w:r>
        <w:rPr>
          <w:rFonts w:ascii="Consolas" w:hAnsi="Consolas"/>
          <w:sz w:val="19"/>
        </w:rPr>
      </w:r>
    </w:p>
    <w:p>
      <w:pPr>
        <w:spacing w:after="80"/>
        <w:ind w:left="432"/>
      </w:pPr>
      <w:r>
        <w:rPr>
          <w:rFonts w:ascii="Consolas" w:hAnsi="Consolas"/>
          <w:sz w:val="19"/>
        </w:rPr>
        <w:t xml:space="preserve">  -2 = Clearly inappropriate</w:t>
      </w:r>
    </w:p>
    <w:p>
      <w:pPr>
        <w:spacing w:after="80"/>
        <w:ind w:left="432"/>
      </w:pPr>
      <w:r>
        <w:rPr>
          <w:rFonts w:ascii="Consolas" w:hAnsi="Consolas"/>
          <w:sz w:val="19"/>
        </w:rPr>
        <w:t xml:space="preserve">  -1 = Probably inappropriate</w:t>
      </w:r>
    </w:p>
    <w:p>
      <w:pPr>
        <w:spacing w:after="80"/>
        <w:ind w:left="432"/>
      </w:pPr>
      <w:r>
        <w:rPr>
          <w:rFonts w:ascii="Consolas" w:hAnsi="Consolas"/>
          <w:sz w:val="19"/>
        </w:rPr>
        <w:t xml:space="preserve">   0 = Equally appropriate to order or not to order</w:t>
      </w:r>
    </w:p>
    <w:p>
      <w:pPr>
        <w:spacing w:after="80"/>
        <w:ind w:left="432"/>
      </w:pPr>
      <w:r>
        <w:rPr>
          <w:rFonts w:ascii="Consolas" w:hAnsi="Consolas"/>
          <w:sz w:val="19"/>
        </w:rPr>
        <w:t xml:space="preserve">  +1 = Probably appropriate</w:t>
      </w:r>
    </w:p>
    <w:p>
      <w:pPr>
        <w:spacing w:after="80"/>
        <w:ind w:left="432"/>
      </w:pPr>
      <w:r>
        <w:rPr>
          <w:rFonts w:ascii="Consolas" w:hAnsi="Consolas"/>
          <w:sz w:val="19"/>
        </w:rPr>
        <w:t xml:space="preserve">  +2 = Clearly appropriate</w:t>
      </w:r>
    </w:p>
    <w:p>
      <w:pPr>
        <w:spacing w:after="80"/>
        <w:ind w:left="432"/>
      </w:pPr>
      <w:r>
        <w:rPr>
          <w:rFonts w:ascii="Consolas" w:hAnsi="Consolas"/>
          <w:sz w:val="19"/>
        </w:rPr>
      </w:r>
    </w:p>
    <w:p>
      <w:pPr>
        <w:spacing w:after="80"/>
        <w:ind w:left="432"/>
      </w:pPr>
      <w:r>
        <w:rPr>
          <w:rFonts w:ascii="Consolas" w:hAnsi="Consolas"/>
          <w:sz w:val="19"/>
        </w:rPr>
        <w:t xml:space="preserve">  [ ] My rating would change substantially with information I was not able</w:t>
      </w:r>
    </w:p>
    <w:p>
      <w:pPr>
        <w:spacing w:after="80"/>
        <w:ind w:left="432"/>
      </w:pPr>
      <w:r>
        <w:rPr>
          <w:rFonts w:ascii="Consolas" w:hAnsi="Consolas"/>
          <w:sz w:val="19"/>
        </w:rPr>
        <w:t xml:space="preserve">      to obtain during this encounter.</w:t>
      </w:r>
    </w:p>
    <w:p>
      <w:r>
        <w:rPr>
          <w:b/>
          <w:i w:val="0"/>
        </w:rPr>
        <w:t>Oracle-facing (same item, different information state):</w:t>
      </w:r>
    </w:p>
    <w:p>
      <w:pPr>
        <w:spacing w:after="80"/>
        <w:ind w:left="432"/>
      </w:pPr>
      <w:r>
        <w:rPr>
          <w:rFonts w:ascii="Consolas" w:hAnsi="Consolas"/>
          <w:sz w:val="19"/>
        </w:rPr>
        <w:t>Based on all clinical information documented in this case record, and before</w:t>
      </w:r>
    </w:p>
    <w:p>
      <w:pPr>
        <w:spacing w:after="80"/>
        <w:ind w:left="432"/>
      </w:pPr>
      <w:r>
        <w:rPr>
          <w:rFonts w:ascii="Consolas" w:hAnsi="Consolas"/>
          <w:sz w:val="19"/>
        </w:rPr>
        <w:t>any pending results return, ordering a brain MRI now would be:</w:t>
      </w:r>
    </w:p>
    <w:p>
      <w:pPr>
        <w:spacing w:after="80"/>
        <w:ind w:left="432"/>
      </w:pPr>
      <w:r>
        <w:rPr>
          <w:rFonts w:ascii="Consolas" w:hAnsi="Consolas"/>
          <w:sz w:val="19"/>
        </w:rPr>
      </w:r>
    </w:p>
    <w:p>
      <w:pPr>
        <w:spacing w:after="80"/>
        <w:ind w:left="432"/>
      </w:pPr>
      <w:r>
        <w:rPr>
          <w:rFonts w:ascii="Consolas" w:hAnsi="Consolas"/>
          <w:sz w:val="19"/>
        </w:rPr>
        <w:t xml:space="preserve">  (identical -2 to +2 anchors)</w:t>
      </w:r>
    </w:p>
    <w:p>
      <w:pPr>
        <w:spacing w:after="80"/>
        <w:ind w:left="432"/>
      </w:pPr>
      <w:r>
        <w:rPr>
          <w:rFonts w:ascii="Consolas" w:hAnsi="Consolas"/>
          <w:sz w:val="19"/>
        </w:rPr>
      </w:r>
    </w:p>
    <w:p>
      <w:pPr>
        <w:spacing w:after="80"/>
        <w:ind w:left="432"/>
      </w:pPr>
      <w:r>
        <w:rPr>
          <w:rFonts w:ascii="Consolas" w:hAnsi="Consolas"/>
          <w:sz w:val="19"/>
        </w:rPr>
        <w:t>Then: briefly state your reasoning (2-3 sentences), and name the two or three</w:t>
      </w:r>
    </w:p>
    <w:p>
      <w:pPr>
        <w:spacing w:after="80"/>
        <w:ind w:left="432"/>
      </w:pPr>
      <w:r>
        <w:rPr>
          <w:rFonts w:ascii="Consolas" w:hAnsi="Consolas"/>
          <w:sz w:val="19"/>
        </w:rPr>
        <w:t>diagnoses you are most concerned about.</w:t>
      </w:r>
    </w:p>
    <w:p>
      <w:pPr>
        <w:pStyle w:val="Heading2"/>
      </w:pPr>
      <w:r>
        <w:t>4.3 Justification</w:t>
      </w:r>
    </w:p>
    <w:p>
      <w:r>
        <w:rPr>
          <w:b/>
          <w:i w:val="0"/>
        </w:rPr>
        <w:t xml:space="preserve">Change 1 — Make the information state explicit. </w:t>
      </w:r>
      <w:r>
        <w:rPr>
          <w:b w:val="0"/>
          <w:i/>
        </w:rPr>
        <w:t>(Consequential.)</w:t>
      </w:r>
    </w:p>
    <w:p>
      <w:r>
        <w:rPr>
          <w:b w:val="0"/>
          <w:i w:val="0"/>
        </w:rPr>
        <w:t>"The information available in this case" is ambiguous about whose information is meant. The learner elicited some subset of the case. The case record contains all of it. The Oracle sees a blinded but otherwise complete view. Those are three different conditioning sets, and the phrase covers all three. This matters most for Cory's request 5: comparing a learner's rating to the reference distribution and asking whether missing information explains the gap is only interpretable if each rater knew what they were conditioning on. We therefore state the referent explicitly and differently for each rater type, while keeping the item otherwise identical.</w:t>
      </w:r>
    </w:p>
    <w:p>
      <w:r>
        <w:rPr>
          <w:b/>
          <w:i w:val="0"/>
        </w:rPr>
        <w:t xml:space="preserve">Change 2 — Anchor the decision in time. </w:t>
      </w:r>
      <w:r>
        <w:rPr>
          <w:b w:val="0"/>
          <w:i/>
        </w:rPr>
        <w:t>(Consequential.)</w:t>
      </w:r>
    </w:p>
    <w:p>
      <w:r>
        <w:rPr>
          <w:b w:val="0"/>
          <w:i w:val="0"/>
        </w:rPr>
        <w:t>Appropriateness of imaging depends heavily on when it is ordered. Without a stated timepoint, raters silently assume different ones and disagree for reasons that have nothing to do with clinical judgment. In measurement terms this is construct-irrelevant variance, and it degrades exactly the quantity we are trying to estimate. Because the design withholds the Final Order result, "now, before any pending results return" is both unambiguous and true to the simulation.</w:t>
      </w:r>
    </w:p>
    <w:p>
      <w:r>
        <w:rPr>
          <w:b/>
          <w:i w:val="0"/>
        </w:rPr>
        <w:t>Change 3 — Use a single construct across the scale.</w:t>
      </w:r>
    </w:p>
    <w:p>
      <w:r>
        <w:rPr>
          <w:b w:val="0"/>
          <w:i w:val="0"/>
        </w:rPr>
        <w:t>The current anchors move across three constructs: -2 and -1 describe inappropriateness, +1 describes defensibility, and +2 describes indication or necessity. A rater who believes an MRI is defensible but not necessary and a rater who believes it is necessary are being asked to separate two ideas that are not on the same dimension. Both classic script concordance testing and the RAND/UCLA appropriateness method hold one construct across the full range. Keeping "appropriate" throughout preserves Alex's negative-pole language while making the positive pole symmetric to it.</w:t>
      </w:r>
    </w:p>
    <w:p>
      <w:r>
        <w:rPr>
          <w:b/>
          <w:i w:val="0"/>
        </w:rPr>
        <w:t>Change 4 — Narrow the midpoint.</w:t>
      </w:r>
    </w:p>
    <w:p>
      <w:r>
        <w:rPr>
          <w:b w:val="0"/>
          <w:i w:val="0"/>
        </w:rPr>
        <w:t>"Uncertain / depends on additional information" bundles two different states: not knowing, and knowing that the answer is contingent. On a five-point scale scored by modal agreement, a broad and attractive midpoint pulls probability mass away from the discriminating tails and lowers the information the item carries. We propose restricting 0 to true equipoise and moving "depends on information I could not get" into a separate optional checkbox. The checkbox is also a better signal than a rating of 0 for request 5, because it says specifically that the learner believes an information deficit is driving their answer.</w:t>
      </w:r>
    </w:p>
    <w:p>
      <w:r>
        <w:rPr>
          <w:b/>
          <w:i w:val="0"/>
        </w:rPr>
        <w:t>Change 5 — Reconsider the name "Final Orders".</w:t>
      </w:r>
    </w:p>
    <w:p>
      <w:r>
        <w:rPr>
          <w:b w:val="0"/>
          <w:i w:val="0"/>
        </w:rPr>
        <w:t>These are terminal management decisions, not literally the last orders placed, and learners will read the phrase the second way. "Key Management Decisions" is more accurate. This is low-stakes, but the name propagates into the database schema and API, so it is cheaper to settle now than later. We will keep "Final Orders" unless the group prefers otherwise.</w:t>
      </w:r>
    </w:p>
    <w:p>
      <w:r>
        <w:rPr>
          <w:b/>
          <w:i w:val="0"/>
        </w:rPr>
        <w:t xml:space="preserve">A naming note on the instrument itself. </w:t>
      </w:r>
      <w:r>
        <w:rPr>
          <w:b w:val="0"/>
          <w:i w:val="0"/>
        </w:rPr>
        <w:t>Cory's stem drops the conditional structure that defines a script concordance item — classic SCT presents a hypothesis, then new information, then asks how the hypothesis shifts. What we are building is an appropriateness rating in SCT clothing, and it is a reasonable instrument, but we recommend describing it accurately in any writeup. Reviewers familiar with SCT will notice. The Oracle distribution does support standard SCT aggregate scoring, which we address in Section 5.7.</w:t>
      </w:r>
    </w:p>
    <w:p>
      <w:pPr>
        <w:pStyle w:val="Heading1"/>
      </w:pPr>
      <w:r>
        <w:t>5. Oracle panel methodology, version 0.1</w:t>
      </w:r>
    </w:p>
    <w:p>
      <w:r>
        <w:rPr>
          <w:b w:val="0"/>
          <w:i w:val="0"/>
        </w:rPr>
        <w:t>This is the section we most want marked up. It specifies how the reference distribution is produced for each Final Order.</w:t>
      </w:r>
    </w:p>
    <w:p>
      <w:pPr>
        <w:pStyle w:val="Heading2"/>
      </w:pPr>
      <w:r>
        <w:t>5.1 When it runs</w:t>
      </w:r>
    </w:p>
    <w:p>
      <w:r>
        <w:rPr>
          <w:b w:val="0"/>
          <w:i w:val="0"/>
        </w:rPr>
        <w:t>At case finalization, after the author has accepted the Final Orders — not during preview. Authors regenerate previews repeatedly while drafting, and each regeneration would otherwise trigger a full panel. The run is keyed by a content hash so that re-finalizing an unchanged case does not re-run it.</w:t>
      </w:r>
    </w:p>
    <w:p>
      <w:r>
        <w:rPr>
          <w:b w:val="0"/>
          <w:i w:val="0"/>
        </w:rPr>
        <w:t>Because a full panel takes several minutes, finalization returns immediately with the case saved and the Oracle marked pending; the panel runs as a background job with a status endpoint. This also avoids HTTP and Azure ingress timeouts.</w:t>
      </w:r>
    </w:p>
    <w:p>
      <w:pPr>
        <w:pStyle w:val="Heading2"/>
      </w:pPr>
      <w:r>
        <w:t>5.2 Unit of work</w:t>
      </w:r>
    </w:p>
    <w:p>
      <w:r>
        <w:rPr>
          <w:b w:val="0"/>
          <w:i w:val="0"/>
        </w:rPr>
        <w:t>One model call per Final Order per panelist. With the default five orders and fifteen panelists, that is seventy-five calls per case.</w:t>
      </w:r>
    </w:p>
    <w:p>
      <w:r>
        <w:rPr>
          <w:b w:val="0"/>
          <w:i w:val="0"/>
        </w:rPr>
        <w:t>We deliberately do not ask one call to rate all five orders. Rating several items in a single response creates contrast and anchoring effects — the model calibrates the third order against what it just said about the first two — which makes the per-item distributions statistically dependent and therefore not interpretable on their own. Independent calls cost five times as much and remain inexpensive.</w:t>
      </w:r>
    </w:p>
    <w:p>
      <w:pPr>
        <w:pStyle w:val="Heading2"/>
      </w:pPr>
      <w:r>
        <w:t>5.3 Model and settings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20"/>
              </w:rPr>
              <w:t>Parameter</w:t>
            </w:r>
          </w:p>
        </w:tc>
        <w:tc>
          <w:tcPr>
            <w:tcW w:type="dxa" w:w="2448"/>
          </w:tcPr>
          <w:p>
            <w:r/>
            <w:r>
              <w:rPr>
                <w:b/>
                <w:sz w:val="20"/>
              </w:rPr>
              <w:t>Proposed value</w:t>
            </w:r>
          </w:p>
        </w:tc>
        <w:tc>
          <w:tcPr>
            <w:tcW w:type="dxa" w:w="5040"/>
          </w:tcPr>
          <w:p>
            <w:r/>
            <w:r>
              <w:rPr>
                <w:b/>
                <w:sz w:val="20"/>
              </w:rPr>
              <w:t>Notes</w:t>
            </w:r>
          </w:p>
        </w:tc>
      </w:tr>
      <w:tr>
        <w:tc>
          <w:tcPr>
            <w:tcW w:type="dxa" w:w="2160"/>
          </w:tcPr>
          <w:p>
            <w:r/>
            <w:r>
              <w:rPr>
                <w:sz w:val="19"/>
              </w:rPr>
              <w:t>Model</w:t>
            </w:r>
          </w:p>
        </w:tc>
        <w:tc>
          <w:tcPr>
            <w:tcW w:type="dxa" w:w="2448"/>
          </w:tcPr>
          <w:p>
            <w:r/>
            <w:r>
              <w:rPr>
                <w:sz w:val="19"/>
              </w:rPr>
              <w:t>gpt-5.6</w:t>
            </w:r>
          </w:p>
        </w:tc>
        <w:tc>
          <w:tcPr>
            <w:tcW w:type="dxa" w:w="5040"/>
          </w:tcPr>
          <w:p>
            <w:r/>
            <w:r>
              <w:rPr>
                <w:sz w:val="19"/>
              </w:rPr>
              <w:t>Via the Responses API; configurable by environment variable</w:t>
            </w:r>
          </w:p>
        </w:tc>
      </w:tr>
      <w:tr>
        <w:tc>
          <w:tcPr>
            <w:tcW w:type="dxa" w:w="2160"/>
          </w:tcPr>
          <w:p>
            <w:r/>
            <w:r>
              <w:rPr>
                <w:sz w:val="19"/>
              </w:rPr>
              <w:t>Reasoning effort</w:t>
            </w:r>
          </w:p>
        </w:tc>
        <w:tc>
          <w:tcPr>
            <w:tcW w:type="dxa" w:w="2448"/>
          </w:tcPr>
          <w:p>
            <w:r/>
            <w:r>
              <w:rPr>
                <w:sz w:val="19"/>
              </w:rPr>
              <w:t>medium</w:t>
            </w:r>
          </w:p>
        </w:tc>
        <w:tc>
          <w:tcPr>
            <w:tcW w:type="dxa" w:w="5040"/>
          </w:tcPr>
          <w:p>
            <w:r/>
            <w:r>
              <w:rPr>
                <w:sz w:val="19"/>
              </w:rPr>
              <w:t>Our reading of Cory's "fourth notch, not the highest" — needs confirmation against the published effort ladder</w:t>
            </w:r>
          </w:p>
        </w:tc>
      </w:tr>
      <w:tr>
        <w:tc>
          <w:tcPr>
            <w:tcW w:type="dxa" w:w="2160"/>
          </w:tcPr>
          <w:p>
            <w:r/>
            <w:r>
              <w:rPr>
                <w:sz w:val="19"/>
              </w:rPr>
              <w:t>Panel size</w:t>
            </w:r>
          </w:p>
        </w:tc>
        <w:tc>
          <w:tcPr>
            <w:tcW w:type="dxa" w:w="2448"/>
          </w:tcPr>
          <w:p>
            <w:r/>
            <w:r>
              <w:rPr>
                <w:sz w:val="19"/>
              </w:rPr>
              <w:t>15</w:t>
            </w:r>
          </w:p>
        </w:tc>
        <w:tc>
          <w:tcPr>
            <w:tcW w:type="dxa" w:w="5040"/>
          </w:tcPr>
          <w:p>
            <w:r/>
            <w:r>
              <w:rPr>
                <w:sz w:val="19"/>
              </w:rPr>
              <w:t>Configurable; realized N is recorded separately from requested N</w:t>
            </w:r>
          </w:p>
        </w:tc>
      </w:tr>
      <w:tr>
        <w:tc>
          <w:tcPr>
            <w:tcW w:type="dxa" w:w="2160"/>
          </w:tcPr>
          <w:p>
            <w:r/>
            <w:r>
              <w:rPr>
                <w:sz w:val="19"/>
              </w:rPr>
              <w:t>Calls per case</w:t>
            </w:r>
          </w:p>
        </w:tc>
        <w:tc>
          <w:tcPr>
            <w:tcW w:type="dxa" w:w="2448"/>
          </w:tcPr>
          <w:p>
            <w:r/>
            <w:r>
              <w:rPr>
                <w:sz w:val="19"/>
              </w:rPr>
              <w:t>75</w:t>
            </w:r>
          </w:p>
        </w:tc>
        <w:tc>
          <w:tcPr>
            <w:tcW w:type="dxa" w:w="5040"/>
          </w:tcPr>
          <w:p>
            <w:r/>
            <w:r>
              <w:rPr>
                <w:sz w:val="19"/>
              </w:rPr>
              <w:t>5 orders x 15 panelists</w:t>
            </w:r>
          </w:p>
        </w:tc>
      </w:tr>
      <w:tr>
        <w:tc>
          <w:tcPr>
            <w:tcW w:type="dxa" w:w="2160"/>
          </w:tcPr>
          <w:p>
            <w:r/>
            <w:r>
              <w:rPr>
                <w:sz w:val="19"/>
              </w:rPr>
              <w:t>Concurrency</w:t>
            </w:r>
          </w:p>
        </w:tc>
        <w:tc>
          <w:tcPr>
            <w:tcW w:type="dxa" w:w="2448"/>
          </w:tcPr>
          <w:p>
            <w:r/>
            <w:r>
              <w:rPr>
                <w:sz w:val="19"/>
              </w:rPr>
              <w:t>8 with semaphore</w:t>
            </w:r>
          </w:p>
        </w:tc>
        <w:tc>
          <w:tcPr>
            <w:tcW w:type="dxa" w:w="5040"/>
          </w:tcPr>
          <w:p>
            <w:r/>
            <w:r>
              <w:rPr>
                <w:sz w:val="19"/>
              </w:rPr>
              <w:t>Sequential execution would take roughly half an hour per case</w:t>
            </w:r>
          </w:p>
        </w:tc>
      </w:tr>
    </w:tbl>
    <w:p/>
    <w:p>
      <w:r>
        <w:rPr>
          <w:b w:val="0"/>
          <w:i w:val="0"/>
        </w:rPr>
        <w:t>A practical note for the engineering side: the existing generator runs entirely on gpt-4o through the chat completions parse interface, which has no reasoning-effort parameter. The Oracle therefore uses a separate call path on the Responses API. This is a known and accepted addition, not a surprise.</w:t>
      </w:r>
    </w:p>
    <w:p>
      <w:pPr>
        <w:pStyle w:val="Heading2"/>
      </w:pPr>
      <w:r>
        <w:t>5.4 Where the variance comes from</w:t>
      </w:r>
    </w:p>
    <w:p>
      <w:r>
        <w:rPr>
          <w:b/>
          <w:i w:val="0"/>
        </w:rPr>
        <w:t xml:space="preserve">This is the most important methodological choice in the proposal. </w:t>
      </w:r>
      <w:r>
        <w:rPr>
          <w:b w:val="0"/>
          <w:i w:val="0"/>
        </w:rPr>
        <w:t>Fifteen calls to one model with one prompt are not fifteen independent experts. They are fifteen draws from a single model's posterior, which is well known to be over-concentrated relative to genuine clinical disagreement. Reported as a "wisdom of the crowd" distribution without qualification, it would overstate consensus.</w:t>
      </w:r>
    </w:p>
    <w:p>
      <w:r>
        <w:rPr>
          <w:b w:val="0"/>
          <w:i w:val="0"/>
        </w:rPr>
        <w:t>Real SCT reference panels derive their value from being heterogeneous — typically ten to twenty clinicians spanning specialties, settings, and experience levels. We propose inducing variance the same way the instrument does, through panelist role assignment, using a fixed and version-controlled roster so that runs remain reproducible.</w:t>
      </w:r>
    </w:p>
    <w:p>
      <w:pPr>
        <w:pStyle w:val="Heading3"/>
      </w:pPr>
      <w:r>
        <w:t>Proposed panel roster (n = 15)</w:t>
      </w:r>
    </w:p>
    <w:tbl>
      <w:tblPr>
        <w:tblStyle w:val="LightGrid-Accent1"/>
        <w:tblW w:type="auto" w:w="0"/>
        <w:jc w:val="center"/>
        <w:tblLook w:firstColumn="1" w:firstRow="1" w:lastColumn="0" w:lastRow="0" w:noHBand="0" w:noVBand="1" w:val="04A0"/>
      </w:tblPr>
      <w:tblGrid>
        <w:gridCol w:w="4320"/>
        <w:gridCol w:w="4320"/>
      </w:tblGrid>
      <w:tr>
        <w:tc>
          <w:tcPr>
            <w:tcW w:type="dxa" w:w="1008"/>
          </w:tcPr>
          <w:p>
            <w:r/>
            <w:r>
              <w:rPr>
                <w:b/>
                <w:sz w:val="20"/>
              </w:rPr>
              <w:t>#</w:t>
            </w:r>
          </w:p>
        </w:tc>
        <w:tc>
          <w:tcPr>
            <w:tcW w:type="dxa" w:w="8352"/>
          </w:tcPr>
          <w:p>
            <w:r/>
            <w:r>
              <w:rPr>
                <w:b/>
                <w:sz w:val="20"/>
              </w:rPr>
              <w:t>Panelist role</w:t>
            </w:r>
          </w:p>
        </w:tc>
      </w:tr>
      <w:tr>
        <w:tc>
          <w:tcPr>
            <w:tcW w:type="dxa" w:w="1008"/>
          </w:tcPr>
          <w:p>
            <w:r/>
            <w:r>
              <w:rPr>
                <w:sz w:val="19"/>
              </w:rPr>
              <w:t>1-3</w:t>
            </w:r>
          </w:p>
        </w:tc>
        <w:tc>
          <w:tcPr>
            <w:tcW w:type="dxa" w:w="8352"/>
          </w:tcPr>
          <w:p>
            <w:r/>
            <w:r>
              <w:rPr>
                <w:sz w:val="19"/>
              </w:rPr>
              <w:t>Emergency medicine attending — community ED, academic ED, high-volume urban ED</w:t>
            </w:r>
          </w:p>
        </w:tc>
      </w:tr>
      <w:tr>
        <w:tc>
          <w:tcPr>
            <w:tcW w:type="dxa" w:w="1008"/>
          </w:tcPr>
          <w:p>
            <w:r/>
            <w:r>
              <w:rPr>
                <w:sz w:val="19"/>
              </w:rPr>
              <w:t>4-5</w:t>
            </w:r>
          </w:p>
        </w:tc>
        <w:tc>
          <w:tcPr>
            <w:tcW w:type="dxa" w:w="8352"/>
          </w:tcPr>
          <w:p>
            <w:r/>
            <w:r>
              <w:rPr>
                <w:sz w:val="19"/>
              </w:rPr>
              <w:t>Emergency medicine attending — 2 years post-residency; 20 years post-residency</w:t>
            </w:r>
          </w:p>
        </w:tc>
      </w:tr>
      <w:tr>
        <w:tc>
          <w:tcPr>
            <w:tcW w:type="dxa" w:w="1008"/>
          </w:tcPr>
          <w:p>
            <w:r/>
            <w:r>
              <w:rPr>
                <w:sz w:val="19"/>
              </w:rPr>
              <w:t>6-7</w:t>
            </w:r>
          </w:p>
        </w:tc>
        <w:tc>
          <w:tcPr>
            <w:tcW w:type="dxa" w:w="8352"/>
          </w:tcPr>
          <w:p>
            <w:r/>
            <w:r>
              <w:rPr>
                <w:sz w:val="19"/>
              </w:rPr>
              <w:t>General internist; hospitalist</w:t>
            </w:r>
          </w:p>
        </w:tc>
      </w:tr>
      <w:tr>
        <w:tc>
          <w:tcPr>
            <w:tcW w:type="dxa" w:w="1008"/>
          </w:tcPr>
          <w:p>
            <w:r/>
            <w:r>
              <w:rPr>
                <w:sz w:val="19"/>
              </w:rPr>
              <w:t>8</w:t>
            </w:r>
          </w:p>
        </w:tc>
        <w:tc>
          <w:tcPr>
            <w:tcW w:type="dxa" w:w="8352"/>
          </w:tcPr>
          <w:p>
            <w:r/>
            <w:r>
              <w:rPr>
                <w:sz w:val="19"/>
              </w:rPr>
              <w:t>Neurologist</w:t>
            </w:r>
          </w:p>
        </w:tc>
      </w:tr>
      <w:tr>
        <w:tc>
          <w:tcPr>
            <w:tcW w:type="dxa" w:w="1008"/>
          </w:tcPr>
          <w:p>
            <w:r/>
            <w:r>
              <w:rPr>
                <w:sz w:val="19"/>
              </w:rPr>
              <w:t>9</w:t>
            </w:r>
          </w:p>
        </w:tc>
        <w:tc>
          <w:tcPr>
            <w:tcW w:type="dxa" w:w="8352"/>
          </w:tcPr>
          <w:p>
            <w:r/>
            <w:r>
              <w:rPr>
                <w:sz w:val="19"/>
              </w:rPr>
              <w:t>Cardiologist</w:t>
            </w:r>
          </w:p>
        </w:tc>
      </w:tr>
      <w:tr>
        <w:tc>
          <w:tcPr>
            <w:tcW w:type="dxa" w:w="1008"/>
          </w:tcPr>
          <w:p>
            <w:r/>
            <w:r>
              <w:rPr>
                <w:sz w:val="19"/>
              </w:rPr>
              <w:t>10</w:t>
            </w:r>
          </w:p>
        </w:tc>
        <w:tc>
          <w:tcPr>
            <w:tcW w:type="dxa" w:w="8352"/>
          </w:tcPr>
          <w:p>
            <w:r/>
            <w:r>
              <w:rPr>
                <w:sz w:val="19"/>
              </w:rPr>
              <w:t>Family medicine physician</w:t>
            </w:r>
          </w:p>
        </w:tc>
      </w:tr>
      <w:tr>
        <w:tc>
          <w:tcPr>
            <w:tcW w:type="dxa" w:w="1008"/>
          </w:tcPr>
          <w:p>
            <w:r/>
            <w:r>
              <w:rPr>
                <w:sz w:val="19"/>
              </w:rPr>
              <w:t>11</w:t>
            </w:r>
          </w:p>
        </w:tc>
        <w:tc>
          <w:tcPr>
            <w:tcW w:type="dxa" w:w="8352"/>
          </w:tcPr>
          <w:p>
            <w:r/>
            <w:r>
              <w:rPr>
                <w:sz w:val="19"/>
              </w:rPr>
              <w:t>Geriatrician</w:t>
            </w:r>
          </w:p>
        </w:tc>
      </w:tr>
      <w:tr>
        <w:tc>
          <w:tcPr>
            <w:tcW w:type="dxa" w:w="1008"/>
          </w:tcPr>
          <w:p>
            <w:r/>
            <w:r>
              <w:rPr>
                <w:sz w:val="19"/>
              </w:rPr>
              <w:t>12</w:t>
            </w:r>
          </w:p>
        </w:tc>
        <w:tc>
          <w:tcPr>
            <w:tcW w:type="dxa" w:w="8352"/>
          </w:tcPr>
          <w:p>
            <w:r/>
            <w:r>
              <w:rPr>
                <w:sz w:val="19"/>
              </w:rPr>
              <w:t>Otolaryngologist (relevant to the planned dizziness cases)</w:t>
            </w:r>
          </w:p>
        </w:tc>
      </w:tr>
      <w:tr>
        <w:tc>
          <w:tcPr>
            <w:tcW w:type="dxa" w:w="1008"/>
          </w:tcPr>
          <w:p>
            <w:r/>
            <w:r>
              <w:rPr>
                <w:sz w:val="19"/>
              </w:rPr>
              <w:t>13</w:t>
            </w:r>
          </w:p>
        </w:tc>
        <w:tc>
          <w:tcPr>
            <w:tcW w:type="dxa" w:w="8352"/>
          </w:tcPr>
          <w:p>
            <w:r/>
            <w:r>
              <w:rPr>
                <w:sz w:val="19"/>
              </w:rPr>
              <w:t>Emergency physician with an explicit diagnostic-stewardship orientation</w:t>
            </w:r>
          </w:p>
        </w:tc>
      </w:tr>
      <w:tr>
        <w:tc>
          <w:tcPr>
            <w:tcW w:type="dxa" w:w="1008"/>
          </w:tcPr>
          <w:p>
            <w:r/>
            <w:r>
              <w:rPr>
                <w:sz w:val="19"/>
              </w:rPr>
              <w:t>14</w:t>
            </w:r>
          </w:p>
        </w:tc>
        <w:tc>
          <w:tcPr>
            <w:tcW w:type="dxa" w:w="8352"/>
          </w:tcPr>
          <w:p>
            <w:r/>
            <w:r>
              <w:rPr>
                <w:sz w:val="19"/>
              </w:rPr>
              <w:t>Emergency physician with an explicit risk-averse orientation</w:t>
            </w:r>
          </w:p>
        </w:tc>
      </w:tr>
      <w:tr>
        <w:tc>
          <w:tcPr>
            <w:tcW w:type="dxa" w:w="1008"/>
          </w:tcPr>
          <w:p>
            <w:r/>
            <w:r>
              <w:rPr>
                <w:sz w:val="19"/>
              </w:rPr>
              <w:t>15</w:t>
            </w:r>
          </w:p>
        </w:tc>
        <w:tc>
          <w:tcPr>
            <w:tcW w:type="dxa" w:w="8352"/>
          </w:tcPr>
          <w:p>
            <w:r/>
            <w:r>
              <w:rPr>
                <w:sz w:val="19"/>
              </w:rPr>
              <w:t>Medical educator with clinical reasoning expertise</w:t>
            </w:r>
          </w:p>
        </w:tc>
      </w:tr>
    </w:tbl>
    <w:p/>
    <w:p>
      <w:r>
        <w:rPr>
          <w:b w:val="0"/>
          <w:i w:val="0"/>
        </w:rPr>
        <w:t>Panelists 13 and 14 are deliberate and worth defending explicitly. Appropriateness ratings for advanced imaging are genuinely bimodal in practice along the stewardship-versus-defensive axis. A panel that omits that axis will produce falsely tight distributions and will make items look more settled than they are. Including these roles represents real practice variation rather than steering the panel, but we expect the question and want the rationale on the record.</w:t>
      </w:r>
    </w:p>
    <w:p>
      <w:r>
        <w:rPr>
          <w:b w:val="0"/>
          <w:i w:val="0"/>
        </w:rPr>
        <w:t>The roster should be reviewed by the group. It is currently weighted toward emergency medicine because the initial cases are ED presentations; a different case mix would warrant a different roster, and the roster is versioned so that a change is visible in the data rather than silent.</w:t>
      </w:r>
    </w:p>
    <w:p>
      <w:pPr>
        <w:pStyle w:val="Heading2"/>
      </w:pPr>
      <w:r>
        <w:t>5.5 Blinding</w:t>
      </w:r>
    </w:p>
    <w:p>
      <w:r>
        <w:rPr>
          <w:b w:val="0"/>
          <w:i w:val="0"/>
        </w:rPr>
        <w:t>Cory's requirement is that each call receive the maximum information available in the case while being blinded to the ground-truth diagnosis. In the current case format those two goals are in direct tension, because the rendered case content contains a Diagnostic Reasoning section with the differential and the rationale, a Teaching Points section, and a summary paragraph that routinely names the diagnosis outright.</w:t>
      </w:r>
    </w:p>
    <w:p>
      <w:r>
        <w:rPr>
          <w:b w:val="0"/>
          <w:i w:val="0"/>
        </w:rPr>
        <w:t>We therefore construct a derived Oracle view from the structured case fields rather than by redacting the rendered document. Building it from structured data rather than stripping text means it fails closed: a field that is not explicitly included cannot leak.</w:t>
      </w:r>
    </w:p>
    <w:tbl>
      <w:tblPr>
        <w:tblStyle w:val="LightGrid-Accent1"/>
        <w:tblW w:type="auto" w:w="0"/>
        <w:jc w:val="center"/>
        <w:tblLook w:firstColumn="1" w:firstRow="1" w:lastColumn="0" w:lastRow="0" w:noHBand="0" w:noVBand="1" w:val="04A0"/>
      </w:tblPr>
      <w:tblGrid>
        <w:gridCol w:w="4320"/>
        <w:gridCol w:w="4320"/>
      </w:tblGrid>
      <w:tr>
        <w:tc>
          <w:tcPr>
            <w:tcW w:type="dxa" w:w="4752"/>
          </w:tcPr>
          <w:p>
            <w:r/>
            <w:r>
              <w:rPr>
                <w:b/>
                <w:sz w:val="20"/>
              </w:rPr>
              <w:t>Included in the Oracle view</w:t>
            </w:r>
          </w:p>
        </w:tc>
        <w:tc>
          <w:tcPr>
            <w:tcW w:type="dxa" w:w="4752"/>
          </w:tcPr>
          <w:p>
            <w:r/>
            <w:r>
              <w:rPr>
                <w:b/>
                <w:sz w:val="20"/>
              </w:rPr>
              <w:t>Excluded by construction</w:t>
            </w:r>
          </w:p>
        </w:tc>
      </w:tr>
      <w:tr>
        <w:tc>
          <w:tcPr>
            <w:tcW w:type="dxa" w:w="4752"/>
          </w:tcPr>
          <w:p>
            <w:r/>
            <w:r>
              <w:rPr>
                <w:sz w:val="19"/>
              </w:rPr>
              <w:t>Door chart: demographics, chief complaint, setting</w:t>
            </w:r>
          </w:p>
        </w:tc>
        <w:tc>
          <w:tcPr>
            <w:tcW w:type="dxa" w:w="4752"/>
          </w:tcPr>
          <w:p>
            <w:r/>
            <w:r>
              <w:rPr>
                <w:sz w:val="19"/>
              </w:rPr>
              <w:t>Case title (frequently names the diagnosis)</w:t>
            </w:r>
          </w:p>
        </w:tc>
      </w:tr>
      <w:tr>
        <w:tc>
          <w:tcPr>
            <w:tcW w:type="dxa" w:w="4752"/>
          </w:tcPr>
          <w:p>
            <w:r/>
            <w:r>
              <w:rPr>
                <w:sz w:val="19"/>
              </w:rPr>
              <w:t>Vital signs</w:t>
            </w:r>
          </w:p>
        </w:tc>
        <w:tc>
          <w:tcPr>
            <w:tcW w:type="dxa" w:w="4752"/>
          </w:tcPr>
          <w:p>
            <w:r/>
            <w:r>
              <w:rPr>
                <w:sz w:val="19"/>
              </w:rPr>
              <w:t>Paragraph summary</w:t>
            </w:r>
          </w:p>
        </w:tc>
      </w:tr>
      <w:tr>
        <w:tc>
          <w:tcPr>
            <w:tcW w:type="dxa" w:w="4752"/>
          </w:tcPr>
          <w:p>
            <w:r/>
            <w:r>
              <w:rPr>
                <w:sz w:val="19"/>
              </w:rPr>
              <w:t>Full OLDCARTS history of present illness</w:t>
            </w:r>
          </w:p>
        </w:tc>
        <w:tc>
          <w:tcPr>
            <w:tcW w:type="dxa" w:w="4752"/>
          </w:tcPr>
          <w:p>
            <w:r/>
            <w:r>
              <w:rPr>
                <w:sz w:val="19"/>
              </w:rPr>
              <w:t>Diagnostic reasoning: differential and rationale</w:t>
            </w:r>
          </w:p>
        </w:tc>
      </w:tr>
      <w:tr>
        <w:tc>
          <w:tcPr>
            <w:tcW w:type="dxa" w:w="4752"/>
          </w:tcPr>
          <w:p>
            <w:r/>
            <w:r>
              <w:rPr>
                <w:sz w:val="19"/>
              </w:rPr>
              <w:t>Past medical, social, and family history</w:t>
            </w:r>
          </w:p>
        </w:tc>
        <w:tc>
          <w:tcPr>
            <w:tcW w:type="dxa" w:w="4752"/>
          </w:tcPr>
          <w:p>
            <w:r/>
            <w:r>
              <w:rPr>
                <w:sz w:val="19"/>
              </w:rPr>
              <w:t>Teaching points and learning objectives</w:t>
            </w:r>
          </w:p>
        </w:tc>
      </w:tr>
      <w:tr>
        <w:tc>
          <w:tcPr>
            <w:tcW w:type="dxa" w:w="4752"/>
          </w:tcPr>
          <w:p>
            <w:r/>
            <w:r>
              <w:rPr>
                <w:sz w:val="19"/>
              </w:rPr>
              <w:t>Medications and allergies</w:t>
            </w:r>
          </w:p>
        </w:tc>
        <w:tc>
          <w:tcPr>
            <w:tcW w:type="dxa" w:w="4752"/>
          </w:tcPr>
          <w:p>
            <w:r/>
            <w:r>
              <w:rPr>
                <w:sz w:val="19"/>
              </w:rPr>
              <w:t>The primary_diagnosis field</w:t>
            </w:r>
          </w:p>
        </w:tc>
      </w:tr>
      <w:tr>
        <w:tc>
          <w:tcPr>
            <w:tcW w:type="dxa" w:w="4752"/>
          </w:tcPr>
          <w:p>
            <w:r/>
            <w:r>
              <w:rPr>
                <w:sz w:val="19"/>
              </w:rPr>
              <w:t>Review of systems</w:t>
            </w:r>
          </w:p>
        </w:tc>
        <w:tc>
          <w:tcPr>
            <w:tcW w:type="dxa" w:w="4752"/>
          </w:tcPr>
          <w:p>
            <w:r/>
            <w:r>
              <w:rPr>
                <w:sz w:val="19"/>
              </w:rPr>
              <w:t>The author's original case description</w:t>
            </w:r>
          </w:p>
        </w:tc>
      </w:tr>
      <w:tr>
        <w:tc>
          <w:tcPr>
            <w:tcW w:type="dxa" w:w="4752"/>
          </w:tcPr>
          <w:p>
            <w:r/>
            <w:r>
              <w:rPr>
                <w:sz w:val="19"/>
              </w:rPr>
              <w:t>Physical examination findings</w:t>
            </w:r>
          </w:p>
        </w:tc>
        <w:tc>
          <w:tcPr>
            <w:tcW w:type="dxa" w:w="4752"/>
          </w:tcPr>
          <w:p>
            <w:r/>
            <w:r>
              <w:rPr>
                <w:sz w:val="19"/>
              </w:rPr>
              <w:t>Any Final Order result the case specifies</w:t>
            </w:r>
          </w:p>
        </w:tc>
      </w:tr>
      <w:tr>
        <w:tc>
          <w:tcPr>
            <w:tcW w:type="dxa" w:w="4752"/>
          </w:tcPr>
          <w:p>
            <w:r/>
            <w:r>
              <w:rPr>
                <w:sz w:val="19"/>
              </w:rPr>
              <w:t>Results of tests the case specifies (except Final Orders)</w:t>
            </w:r>
          </w:p>
        </w:tc>
        <w:tc>
          <w:tcPr>
            <w:tcW w:type="dxa" w:w="4752"/>
          </w:tcPr>
          <w:p>
            <w:r/>
            <w:r>
              <w:rPr>
                <w:sz w:val="19"/>
              </w:rPr>
            </w:r>
          </w:p>
        </w:tc>
      </w:tr>
    </w:tbl>
    <w:p/>
    <w:p>
      <w:r>
        <w:rPr>
          <w:b/>
          <w:i w:val="0"/>
        </w:rPr>
        <w:t xml:space="preserve">Automated leak audit, run before the panel and blocking. </w:t>
      </w:r>
      <w:r>
        <w:rPr>
          <w:b w:val="0"/>
          <w:i w:val="0"/>
        </w:rPr>
        <w:t>The Oracle view is checked case-insensitively against the primary diagnosis string, each of its tokens, and a curated synonym and abbreviation list. A hit blocks finalization and shows the author exactly what leaked, rather than emitting a warning that will be dismissed.</w:t>
      </w:r>
    </w:p>
    <w:p>
      <w:r>
        <w:rPr>
          <w:b/>
          <w:i w:val="0"/>
        </w:rPr>
        <w:t xml:space="preserve">Post-hoc transparency signal. </w:t>
      </w:r>
      <w:r>
        <w:rPr>
          <w:b w:val="0"/>
          <w:i w:val="0"/>
        </w:rPr>
        <w:t>Each panelist names their top two or three diagnostic concerns. If more than eighty percent name the exact ground-truth diagnosis, the case is diagnostically transparent. That is not necessarily a defect — some cases should be obvious — but it changes how the item behaves and the author should see it.</w:t>
      </w:r>
    </w:p>
    <w:p>
      <w:pPr>
        <w:pStyle w:val="Heading2"/>
      </w:pPr>
      <w:r>
        <w:t>5.6 What is recorded</w:t>
      </w:r>
    </w:p>
    <w:p>
      <w:r>
        <w:rPr>
          <w:b w:val="0"/>
          <w:i w:val="0"/>
        </w:rPr>
        <w:t>Per-call rows are the source of truth. Aggregates are computed from them and never stored as the only record. If we store only the histogram, we cannot later re-analyze, audit, or answer a reviewer's question about a specific rating.</w:t>
      </w:r>
    </w:p>
    <w:p>
      <w:pPr>
        <w:pStyle w:val="ListBullet"/>
      </w:pPr>
      <w:r>
        <w:t>Run identifier, case identifier, Final Order identifier</w:t>
      </w:r>
    </w:p>
    <w:p>
      <w:pPr>
        <w:pStyle w:val="ListBullet"/>
      </w:pPr>
      <w:r>
        <w:t>Panelist index, persona identifier, and a hash of the persona text</w:t>
      </w:r>
    </w:p>
    <w:p>
      <w:pPr>
        <w:pStyle w:val="ListBullet"/>
      </w:pPr>
      <w:r>
        <w:t>Model identifier, reasoning effort, provider, and API surface</w:t>
      </w:r>
    </w:p>
    <w:p>
      <w:pPr>
        <w:pStyle w:val="ListBullet"/>
      </w:pPr>
      <w:r>
        <w:t>Prompt template version and the Oracle-view content hash</w:t>
      </w:r>
    </w:p>
    <w:p>
      <w:pPr>
        <w:pStyle w:val="ListBullet"/>
      </w:pPr>
      <w:r>
        <w:t>Rating from -2 to +2, free-text rationale, and top diagnostic concerns</w:t>
      </w:r>
    </w:p>
    <w:p>
      <w:pPr>
        <w:pStyle w:val="ListBullet"/>
      </w:pPr>
      <w:r>
        <w:t>Raw response identifier, token counts, latency, and timestamp</w:t>
      </w:r>
    </w:p>
    <w:p>
      <w:pPr>
        <w:pStyle w:val="ListBullet"/>
      </w:pPr>
      <w:r>
        <w:t>Outcome status: ok, parse failure, refusal, or API error</w:t>
      </w:r>
    </w:p>
    <w:p>
      <w:r>
        <w:rPr>
          <w:b/>
          <w:i w:val="0"/>
        </w:rPr>
        <w:t xml:space="preserve">Failure handling. </w:t>
      </w:r>
      <w:r>
        <w:rPr>
          <w:b w:val="0"/>
          <w:i w:val="0"/>
        </w:rPr>
        <w:t>A call that fails after retries is stored as a null-outcome row and excluded from the denominator. The realized panel size is reported alongside every distribution. We will not silently rate fourteen panelists and describe it as fifteen.</w:t>
      </w:r>
    </w:p>
    <w:p>
      <w:pPr>
        <w:pStyle w:val="Heading2"/>
      </w:pPr>
      <w:r>
        <w:t>5.7 Aggregation and scoring</w:t>
      </w:r>
    </w:p>
    <w:p>
      <w:r>
        <w:rPr>
          <w:b w:val="0"/>
          <w:i w:val="0"/>
        </w:rPr>
        <w:t>We store the full five-bin histogram and compute everything else at read time. This lets the scoring rule change later without regenerating any data, which we expect to happen at least once.</w:t>
      </w:r>
    </w:p>
    <w:p>
      <w:pPr>
        <w:pStyle w:val="ListBullet"/>
      </w:pPr>
      <w:r>
        <w:t>Full histogram across the five rating bins</w:t>
      </w:r>
    </w:p>
    <w:p>
      <w:pPr>
        <w:pStyle w:val="ListBullet"/>
      </w:pPr>
      <w:r>
        <w:t>Modal rating and modal proportion</w:t>
      </w:r>
    </w:p>
    <w:p>
      <w:pPr>
        <w:pStyle w:val="ListBullet"/>
      </w:pPr>
      <w:r>
        <w:t>Mean and standard deviation</w:t>
      </w:r>
    </w:p>
    <w:p>
      <w:pPr>
        <w:pStyle w:val="ListBullet"/>
      </w:pPr>
      <w:r>
        <w:t>Shannon entropy across the five bins (0 when unanimous, maximum log-base-2 of 5, about 2.32)</w:t>
      </w:r>
    </w:p>
    <w:p>
      <w:pPr>
        <w:pStyle w:val="ListBullet"/>
      </w:pPr>
      <w:r>
        <w:t>SCT-style aggregate credit vector: credit for rating k equals the count at k divided by the modal count</w:t>
      </w:r>
    </w:p>
    <w:p>
      <w:r>
        <w:rPr>
          <w:b w:val="0"/>
          <w:i w:val="0"/>
        </w:rPr>
        <w:t>The last of these is the standard SCT aggregate scoring function. Storing the histogram is what makes it available; computing it at read time is what keeps it revisable.</w:t>
      </w:r>
    </w:p>
    <w:p>
      <w:pPr>
        <w:pStyle w:val="Heading2"/>
      </w:pPr>
      <w:r>
        <w:t>5.8 Staleness and re-runs</w:t>
      </w:r>
    </w:p>
    <w:p>
      <w:r>
        <w:rPr>
          <w:b w:val="0"/>
          <w:i w:val="0"/>
        </w:rPr>
        <w:t>Each run stores a hash of the Oracle-visible content and a hash of the order text. Any edit that changes either marks existing runs stale. The authoring interface shows a banner and offers a re-run. Runs are append-only: a new run supersedes the old one through a pointer, and nothing is overwritten. For a research dataset, the history of what was generated and when is part of the data.</w:t>
      </w:r>
    </w:p>
    <w:p>
      <w:pPr>
        <w:pStyle w:val="Heading1"/>
      </w:pPr>
      <w:r>
        <w:t>6. Data model</w:t>
      </w:r>
    </w:p>
    <w:p>
      <w:r>
        <w:rPr>
          <w:b w:val="0"/>
          <w:i w:val="0"/>
        </w:rPr>
        <w:t>Cory confirmed we own the Neon database and can add tables. We propose three new tables rather than new columns on the existing case_details table. The existing table is shared with the simulator and holds live data; additive tables carry no risk to it, make "this case has no Final Orders" unambiguous, and accommodate the one-to-many and one-to-many-to-many shapes naturally.</w:t>
      </w:r>
    </w:p>
    <w:p>
      <w:pPr>
        <w:pStyle w:val="Heading3"/>
      </w:pPr>
      <w:r>
        <w:t>case_final_orders</w:t>
      </w:r>
    </w:p>
    <w:p>
      <w:pPr>
        <w:spacing w:after="80"/>
        <w:ind w:left="432"/>
      </w:pPr>
      <w:r>
        <w:rPr>
          <w:rFonts w:ascii="Consolas" w:hAnsi="Consolas"/>
          <w:sz w:val="19"/>
        </w:rPr>
        <w:t>id, case_detail_id (FK, indexed), display_order</w:t>
      </w:r>
    </w:p>
    <w:p>
      <w:pPr>
        <w:spacing w:after="80"/>
        <w:ind w:left="432"/>
      </w:pPr>
      <w:r>
        <w:rPr>
          <w:rFonts w:ascii="Consolas" w:hAnsi="Consolas"/>
          <w:sz w:val="19"/>
        </w:rPr>
        <w:t>order_text            — e.g. "Order a brain MRI"</w:t>
      </w:r>
    </w:p>
    <w:p>
      <w:pPr>
        <w:spacing w:after="80"/>
        <w:ind w:left="432"/>
      </w:pPr>
      <w:r>
        <w:rPr>
          <w:rFonts w:ascii="Consolas" w:hAnsi="Consolas"/>
          <w:sz w:val="19"/>
        </w:rPr>
        <w:t>stem_template         — optional per-order override of the default stem</w:t>
      </w:r>
    </w:p>
    <w:p>
      <w:pPr>
        <w:spacing w:after="80"/>
        <w:ind w:left="432"/>
      </w:pPr>
      <w:r>
        <w:rPr>
          <w:rFonts w:ascii="Consolas" w:hAnsi="Consolas"/>
          <w:sz w:val="19"/>
        </w:rPr>
        <w:t>provenance            — author_entered | llm_suggested_accepted</w:t>
      </w:r>
    </w:p>
    <w:p>
      <w:pPr>
        <w:spacing w:after="80"/>
        <w:ind w:left="432"/>
      </w:pPr>
      <w:r>
        <w:rPr>
          <w:rFonts w:ascii="Consolas" w:hAnsi="Consolas"/>
          <w:sz w:val="19"/>
        </w:rPr>
        <w:t>suppress_results      — boolean, default true</w:t>
      </w:r>
    </w:p>
    <w:p>
      <w:pPr>
        <w:spacing w:after="80"/>
        <w:ind w:left="432"/>
      </w:pPr>
      <w:r>
        <w:rPr>
          <w:rFonts w:ascii="Consolas" w:hAnsi="Consolas"/>
          <w:sz w:val="19"/>
        </w:rPr>
        <w:t>suppression_message   — shown by the simulator; default "Result pending"</w:t>
      </w:r>
    </w:p>
    <w:p>
      <w:pPr>
        <w:spacing w:after="80"/>
        <w:ind w:left="432"/>
      </w:pPr>
      <w:r>
        <w:rPr>
          <w:rFonts w:ascii="Consolas" w:hAnsi="Consolas"/>
          <w:sz w:val="19"/>
        </w:rPr>
        <w:t>suppression_synonyms  — author-editable phrasings that also trigger suppression</w:t>
      </w:r>
    </w:p>
    <w:p>
      <w:pPr>
        <w:spacing w:after="80"/>
        <w:ind w:left="432"/>
      </w:pPr>
      <w:r>
        <w:rPr>
          <w:rFonts w:ascii="Consolas" w:hAnsi="Consolas"/>
          <w:sz w:val="19"/>
        </w:rPr>
        <w:t>created_at, updated_at</w:t>
      </w:r>
    </w:p>
    <w:p>
      <w:pPr>
        <w:pStyle w:val="Heading3"/>
      </w:pPr>
      <w:r>
        <w:t>final_order_oracle_runs</w:t>
      </w:r>
    </w:p>
    <w:p>
      <w:pPr>
        <w:spacing w:after="80"/>
        <w:ind w:left="432"/>
      </w:pPr>
      <w:r>
        <w:rPr>
          <w:rFonts w:ascii="Consolas" w:hAnsi="Consolas"/>
          <w:sz w:val="19"/>
        </w:rPr>
        <w:t>id, final_order_id (FK, indexed)</w:t>
      </w:r>
    </w:p>
    <w:p>
      <w:pPr>
        <w:spacing w:after="80"/>
        <w:ind w:left="432"/>
      </w:pPr>
      <w:r>
        <w:rPr>
          <w:rFonts w:ascii="Consolas" w:hAnsi="Consolas"/>
          <w:sz w:val="19"/>
        </w:rPr>
        <w:t>panel_size_requested, panel_size_realized</w:t>
      </w:r>
    </w:p>
    <w:p>
      <w:pPr>
        <w:spacing w:after="80"/>
        <w:ind w:left="432"/>
      </w:pPr>
      <w:r>
        <w:rPr>
          <w:rFonts w:ascii="Consolas" w:hAnsi="Consolas"/>
          <w:sz w:val="19"/>
        </w:rPr>
        <w:t>model, reasoning_effort, provider, prompt_template_version</w:t>
      </w:r>
    </w:p>
    <w:p>
      <w:pPr>
        <w:spacing w:after="80"/>
        <w:ind w:left="432"/>
      </w:pPr>
      <w:r>
        <w:rPr>
          <w:rFonts w:ascii="Consolas" w:hAnsi="Consolas"/>
          <w:sz w:val="19"/>
        </w:rPr>
        <w:t>oracle_view_hash, order_text_hash, panel_roster_version</w:t>
      </w:r>
    </w:p>
    <w:p>
      <w:pPr>
        <w:spacing w:after="80"/>
        <w:ind w:left="432"/>
      </w:pPr>
      <w:r>
        <w:rPr>
          <w:rFonts w:ascii="Consolas" w:hAnsi="Consolas"/>
          <w:sz w:val="19"/>
        </w:rPr>
        <w:t>status (pending | complete | failed), superseded_by (FK, nullable)</w:t>
      </w:r>
    </w:p>
    <w:p>
      <w:pPr>
        <w:spacing w:after="80"/>
        <w:ind w:left="432"/>
      </w:pPr>
      <w:r>
        <w:rPr>
          <w:rFonts w:ascii="Consolas" w:hAnsi="Consolas"/>
          <w:sz w:val="19"/>
        </w:rPr>
        <w:t>histogram (JSON convenience copy), created_at, completed_at</w:t>
      </w:r>
    </w:p>
    <w:p>
      <w:pPr>
        <w:pStyle w:val="Heading3"/>
      </w:pPr>
      <w:r>
        <w:t>final_order_oracle_ratings</w:t>
      </w:r>
    </w:p>
    <w:p>
      <w:pPr>
        <w:spacing w:after="80"/>
        <w:ind w:left="432"/>
      </w:pPr>
      <w:r>
        <w:rPr>
          <w:rFonts w:ascii="Consolas" w:hAnsi="Consolas"/>
          <w:sz w:val="19"/>
        </w:rPr>
        <w:t>id, run_id (FK, indexed)</w:t>
      </w:r>
    </w:p>
    <w:p>
      <w:pPr>
        <w:spacing w:after="80"/>
        <w:ind w:left="432"/>
      </w:pPr>
      <w:r>
        <w:rPr>
          <w:rFonts w:ascii="Consolas" w:hAnsi="Consolas"/>
          <w:sz w:val="19"/>
        </w:rPr>
        <w:t>panelist_index, persona_id</w:t>
      </w:r>
    </w:p>
    <w:p>
      <w:pPr>
        <w:spacing w:after="80"/>
        <w:ind w:left="432"/>
      </w:pPr>
      <w:r>
        <w:rPr>
          <w:rFonts w:ascii="Consolas" w:hAnsi="Consolas"/>
          <w:sz w:val="19"/>
        </w:rPr>
        <w:t>rating (-2..+2, nullable), rationale, top_concerns (JSON)</w:t>
      </w:r>
    </w:p>
    <w:p>
      <w:pPr>
        <w:spacing w:after="80"/>
        <w:ind w:left="432"/>
      </w:pPr>
      <w:r>
        <w:rPr>
          <w:rFonts w:ascii="Consolas" w:hAnsi="Consolas"/>
          <w:sz w:val="19"/>
        </w:rPr>
        <w:t>status (ok | parse_error | refusal | api_error)</w:t>
      </w:r>
    </w:p>
    <w:p>
      <w:pPr>
        <w:spacing w:after="80"/>
        <w:ind w:left="432"/>
      </w:pPr>
      <w:r>
        <w:rPr>
          <w:rFonts w:ascii="Consolas" w:hAnsi="Consolas"/>
          <w:sz w:val="19"/>
        </w:rPr>
        <w:t>raw_response_id, latency_ms, tokens_in, tokens_out, created_at</w:t>
      </w:r>
    </w:p>
    <w:p>
      <w:r>
        <w:rPr>
          <w:b w:val="0"/>
          <w:i w:val="0"/>
        </w:rPr>
        <w:t>A fourth table, learner_final_order_ratings, will be needed on the simulator side to capture learner responses. It is specified in the direct-sim handoff document rather than here.</w:t>
      </w:r>
    </w:p>
    <w:p>
      <w:r>
        <w:rPr>
          <w:b/>
          <w:i w:val="0"/>
        </w:rPr>
        <w:t xml:space="preserve">One engineering caveat for the record. </w:t>
      </w:r>
      <w:r>
        <w:rPr>
          <w:b w:val="0"/>
          <w:i w:val="0"/>
        </w:rPr>
        <w:t>The simulator repository has Alembic configured but no migration versions, and it currently calls create_all at startup. The first migration must establish a baseline against the live schema before adding these tables, or an autogenerated migration will attempt to create tables that already exist. This is noted in the handoff document.</w:t>
      </w:r>
    </w:p>
    <w:p>
      <w:pPr>
        <w:pStyle w:val="Heading1"/>
      </w:pPr>
      <w:r>
        <w:t>7. Preventing disclosure during the simulation</w:t>
      </w:r>
    </w:p>
    <w:p>
      <w:r>
        <w:rPr>
          <w:b w:val="0"/>
          <w:i w:val="0"/>
        </w:rPr>
        <w:t>Cory's third request is that the simulator acknowledge a Final Order without revealing its result, so that uncertainty is preserved until the learner rates it. We reviewed what the simulator does today.</w:t>
      </w:r>
    </w:p>
    <w:p>
      <w:pPr>
        <w:pStyle w:val="Heading2"/>
      </w:pPr>
      <w:r>
        <w:t>7.1 What already exists</w:t>
      </w:r>
    </w:p>
    <w:p>
      <w:r>
        <w:rPr>
          <w:b w:val="0"/>
          <w:i w:val="0"/>
        </w:rPr>
        <w:t>The simulator has a substantial and thoughtful set of safeguards, all of them implemented as instructions inside the order-generation prompt:</w:t>
      </w:r>
    </w:p>
    <w:tbl>
      <w:tblPr>
        <w:tblStyle w:val="LightGrid-Accent1"/>
        <w:tblW w:type="auto" w:w="0"/>
        <w:jc w:val="center"/>
        <w:tblLook w:firstColumn="1" w:firstRow="1" w:lastColumn="0" w:lastRow="0" w:noHBand="0" w:noVBand="1" w:val="04A0"/>
      </w:tblPr>
      <w:tblGrid>
        <w:gridCol w:w="4320"/>
        <w:gridCol w:w="4320"/>
      </w:tblGrid>
      <w:tr>
        <w:tc>
          <w:tcPr>
            <w:tcW w:type="dxa" w:w="5616"/>
          </w:tcPr>
          <w:p>
            <w:r/>
            <w:r>
              <w:rPr>
                <w:b/>
                <w:sz w:val="20"/>
              </w:rPr>
              <w:t>Existing safeguard</w:t>
            </w:r>
          </w:p>
        </w:tc>
        <w:tc>
          <w:tcPr>
            <w:tcW w:type="dxa" w:w="3888"/>
          </w:tcPr>
          <w:p>
            <w:r/>
            <w:r>
              <w:rPr>
                <w:b/>
                <w:sz w:val="20"/>
              </w:rPr>
              <w:t>Covers Final Orders?</w:t>
            </w:r>
          </w:p>
        </w:tc>
      </w:tr>
      <w:tr>
        <w:tc>
          <w:tcPr>
            <w:tcW w:type="dxa" w:w="5616"/>
          </w:tcPr>
          <w:p>
            <w:r/>
            <w:r>
              <w:rPr>
                <w:sz w:val="19"/>
              </w:rPr>
              <w:t>Specialist consults return "recommendations pending" in phases 1 and 2</w:t>
            </w:r>
          </w:p>
        </w:tc>
        <w:tc>
          <w:tcPr>
            <w:tcW w:type="dxa" w:w="3888"/>
          </w:tcPr>
          <w:p>
            <w:r/>
            <w:r>
              <w:rPr>
                <w:sz w:val="19"/>
              </w:rPr>
              <w:t>Partly — consults only, and released in phase 4</w:t>
            </w:r>
          </w:p>
        </w:tc>
      </w:tr>
      <w:tr>
        <w:tc>
          <w:tcPr>
            <w:tcW w:type="dxa" w:w="5616"/>
          </w:tcPr>
          <w:p>
            <w:r/>
            <w:r>
              <w:rPr>
                <w:sz w:val="19"/>
              </w:rPr>
              <w:t>Stroke pager activation has hard-coded phase-specific responses</w:t>
            </w:r>
          </w:p>
        </w:tc>
        <w:tc>
          <w:tcPr>
            <w:tcW w:type="dxa" w:w="3888"/>
          </w:tcPr>
          <w:p>
            <w:r/>
            <w:r>
              <w:rPr>
                <w:sz w:val="19"/>
              </w:rPr>
              <w:t>Yes for stroke activation specifically</w:t>
            </w:r>
          </w:p>
        </w:tc>
      </w:tr>
      <w:tr>
        <w:tc>
          <w:tcPr>
            <w:tcW w:type="dxa" w:w="5616"/>
          </w:tcPr>
          <w:p>
            <w:r/>
            <w:r>
              <w:rPr>
                <w:sz w:val="19"/>
              </w:rPr>
              <w:t>Phase 1 queues all imaging, consults, and central-lab studies</w:t>
            </w:r>
          </w:p>
        </w:tc>
        <w:tc>
          <w:tcPr>
            <w:tcW w:type="dxa" w:w="3888"/>
          </w:tcPr>
          <w:p>
            <w:r/>
            <w:r>
              <w:rPr>
                <w:sz w:val="19"/>
              </w:rPr>
              <w:t>Yes, through phase 1</w:t>
            </w:r>
          </w:p>
        </w:tc>
      </w:tr>
      <w:tr>
        <w:tc>
          <w:tcPr>
            <w:tcW w:type="dxa" w:w="5616"/>
          </w:tcPr>
          <w:p>
            <w:r/>
            <w:r>
              <w:rPr>
                <w:sz w:val="19"/>
              </w:rPr>
              <w:t>Phase 2 withholds CT, CTA, MRI, MRA, and angiography</w:t>
            </w:r>
          </w:p>
        </w:tc>
        <w:tc>
          <w:tcPr>
            <w:tcW w:type="dxa" w:w="3888"/>
          </w:tcPr>
          <w:p>
            <w:r/>
            <w:r>
              <w:rPr>
                <w:sz w:val="19"/>
              </w:rPr>
              <w:t>Brain MRI yes; echocardiogram and PET are not enumerated</w:t>
            </w:r>
          </w:p>
        </w:tc>
      </w:tr>
      <w:tr>
        <w:tc>
          <w:tcPr>
            <w:tcW w:type="dxa" w:w="5616"/>
          </w:tcPr>
          <w:p>
            <w:r/>
            <w:r>
              <w:rPr>
                <w:sz w:val="19"/>
              </w:rPr>
              <w:t>Phase 4 reveals all delayed results</w:t>
            </w:r>
          </w:p>
        </w:tc>
        <w:tc>
          <w:tcPr>
            <w:tcW w:type="dxa" w:w="3888"/>
          </w:tcPr>
          <w:p>
            <w:r/>
            <w:r>
              <w:rPr>
                <w:sz w:val="19"/>
              </w:rPr>
              <w:t>No — this is where the design breaks</w:t>
            </w:r>
          </w:p>
        </w:tc>
      </w:tr>
      <w:tr>
        <w:tc>
          <w:tcPr>
            <w:tcW w:type="dxa" w:w="5616"/>
          </w:tcPr>
          <w:p>
            <w:r/>
            <w:r>
              <w:rPr>
                <w:sz w:val="19"/>
              </w:rPr>
              <w:t>"Do not give away diagnoses or details from the case"</w:t>
            </w:r>
          </w:p>
        </w:tc>
        <w:tc>
          <w:tcPr>
            <w:tcW w:type="dxa" w:w="3888"/>
          </w:tcPr>
          <w:p>
            <w:r/>
            <w:r>
              <w:rPr>
                <w:sz w:val="19"/>
              </w:rPr>
              <w:t>Generic instruction only</w:t>
            </w:r>
          </w:p>
        </w:tc>
      </w:tr>
    </w:tbl>
    <w:p/>
    <w:p>
      <w:pPr>
        <w:pStyle w:val="Heading2"/>
      </w:pPr>
      <w:r>
        <w:t>7.2 The six gaps</w:t>
      </w:r>
    </w:p>
    <w:p>
      <w:pPr>
        <w:pStyle w:val="ListNumber"/>
      </w:pPr>
      <w:r>
        <w:t>Phase 4 reveals everything. If Final Order ratings are collected during or after the feedback phase, the results are already on screen. The fix is architectural rather than defensive: collect the ratings in phase 3, alongside the existing clinical reasoning submission, before any reveal. Phase 3 is already a form-entry step with no orders and no interview, so this fits cleanly.</w:t>
      </w:r>
    </w:p>
    <w:p>
      <w:pPr>
        <w:pStyle w:val="ListNumber"/>
      </w:pPr>
      <w:r>
        <w:t>Coverage is an enumerated list, not data-driven. Echocardiogram and PET — two of Cory's own examples — are not in the phase 2 withhold enumeration. Author-specified Final Orders are arbitrary by definition, so the suppression list must come from the case record.</w:t>
      </w:r>
    </w:p>
    <w:p>
      <w:pPr>
        <w:pStyle w:val="ListNumber"/>
      </w:pPr>
      <w:r>
        <w:t>Nothing is enforced deterministically. Every existing safeguard is an instruction given to a model that has the answer in its context. This works most of the time and will fail some of the time, and the failures will be invisible unless we look for them.</w:t>
      </w:r>
    </w:p>
    <w:p>
      <w:pPr>
        <w:pStyle w:val="ListNumber"/>
      </w:pPr>
      <w:r>
        <w:t>The full case content — including the differential, rationale, and teaching points — is passed to both the patient persona and the order-result generator. This is a pre-existing leak surface that becomes materially more consequential once a rating depends on preserved uncertainty.</w:t>
      </w:r>
    </w:p>
    <w:p>
      <w:pPr>
        <w:pStyle w:val="ListNumber"/>
      </w:pPr>
      <w:r>
        <w:t>Pre-specified results can contain the suppressed result, and the prompt instructs the model to reproduce pre-specified values exactly. The two instructions are in tension and we should not rely on the model resolving them in our favor.</w:t>
      </w:r>
    </w:p>
    <w:p>
      <w:pPr>
        <w:pStyle w:val="ListNumber"/>
      </w:pPr>
      <w:r>
        <w:t>There is no scan of generated output before it reaches the learner.</w:t>
      </w:r>
    </w:p>
    <w:p>
      <w:pPr>
        <w:pStyle w:val="Heading2"/>
      </w:pPr>
      <w:r>
        <w:t>7.3 Proposed approach: three layers, deterministic first</w:t>
      </w:r>
    </w:p>
    <w:p>
      <w:r>
        <w:rPr>
          <w:b w:val="0"/>
          <w:i w:val="0"/>
        </w:rPr>
        <w:t>We agree with Cory that a prompt-only approach is too fragile for something the measurement depends on. The proposal is defense in depth, with the outermost layer being deterministic code rather than model instruction.</w:t>
      </w:r>
    </w:p>
    <w:p>
      <w:pPr>
        <w:pStyle w:val="ListBullet"/>
      </w:pPr>
      <w:r>
        <w:rPr>
          <w:b/>
          <w:i w:val="0"/>
        </w:rPr>
        <w:t xml:space="preserve">Layer 1 — pre-model interception. </w:t>
      </w:r>
      <w:r>
        <w:rPr>
          <w:b w:val="0"/>
          <w:i w:val="0"/>
        </w:rPr>
        <w:t>Incoming order text is normalized and matched against the case's Final Orders and their author-supplied synonyms. On a match the request short-circuits and returns the pending message without any model call. No leak is possible, the cost is zero, and the response is instant.</w:t>
      </w:r>
    </w:p>
    <w:p>
      <w:pPr>
        <w:pStyle w:val="ListBullet"/>
      </w:pPr>
      <w:r>
        <w:rPr>
          <w:b/>
          <w:i w:val="0"/>
        </w:rPr>
        <w:t xml:space="preserve">Layer 2 — prompt instruction. </w:t>
      </w:r>
      <w:r>
        <w:rPr>
          <w:b w:val="0"/>
          <w:i w:val="0"/>
        </w:rPr>
        <w:t>Orders that pass through still carry the suppression list into the prompt, so the model is told not to volunteer the information indirectly.</w:t>
      </w:r>
    </w:p>
    <w:p>
      <w:pPr>
        <w:pStyle w:val="ListBullet"/>
      </w:pPr>
      <w:r>
        <w:rPr>
          <w:b/>
          <w:i w:val="0"/>
        </w:rPr>
        <w:t xml:space="preserve">Layer 3 — output scan. </w:t>
      </w:r>
      <w:r>
        <w:rPr>
          <w:b w:val="0"/>
          <w:i w:val="0"/>
        </w:rPr>
        <w:t>Generated output is scanned for suppressed-order content before display; a hit is replaced with the pending message and logged as a safeguard failure worth investigating.</w:t>
      </w:r>
    </w:p>
    <w:p>
      <w:r>
        <w:rPr>
          <w:b w:val="0"/>
          <w:i w:val="0"/>
        </w:rPr>
        <w:t>Matching should be conservative and author-controlled rather than fuzzy. A false positive degrades the simulation by suppressing something unrelated; a false negative destroys the measurement. Giving the author an explicit list of phrasings to suppress is more reliable than string-similarity heuristics, and the author knows the case.</w:t>
      </w:r>
    </w:p>
    <w:p>
      <w:r>
        <w:rPr>
          <w:b/>
          <w:i w:val="0"/>
        </w:rPr>
        <w:t xml:space="preserve">A research opportunity worth capturing. </w:t>
      </w:r>
      <w:r>
        <w:rPr>
          <w:b w:val="0"/>
          <w:i w:val="0"/>
        </w:rPr>
        <w:t>Whether a learner tried to order the Final Order during the encounter is itself informative — it tells us whether their later rating is consistent with their own behavior under uncertainty. We propose logging every suppression event so this is available for analysis.</w:t>
      </w:r>
    </w:p>
    <w:p>
      <w:pPr>
        <w:pStyle w:val="Heading1"/>
      </w:pPr>
      <w:r>
        <w:t>8. Learner feedback integration</w:t>
      </w:r>
    </w:p>
    <w:p>
      <w:r>
        <w:rPr>
          <w:b w:val="0"/>
          <w:i w:val="0"/>
        </w:rPr>
        <w:t>Per Cory's agreement, full integration into learner-facing feedback is deferred. The Oracle distribution will be generated and stored with the case, and made available for inspection, but will not initially drive feedback text.</w:t>
      </w:r>
    </w:p>
    <w:p>
      <w:r>
        <w:rPr>
          <w:b w:val="0"/>
          <w:i w:val="0"/>
        </w:rPr>
        <w:t>We note one design consequence to keep in view. The Oracle rates with the complete case; the learner rates with whatever they managed to elicit. A calibration gap between them is therefore expected and is the signal, not noise — it is precisely the quantity Cory described wanting to decompose into information-gathering versus reasoning. The checkbox proposed in Section 4.2 and the elicited-findings record together give the eventual feedback pipeline what it needs to attempt that decomposition.</w:t>
      </w:r>
    </w:p>
    <w:p>
      <w:pPr>
        <w:pStyle w:val="Heading1"/>
      </w:pPr>
      <w:r>
        <w:t>9. Data handling, student privacy, and a request of UNMC</w:t>
      </w:r>
    </w:p>
    <w:p>
      <w:r>
        <w:rPr>
          <w:b w:val="0"/>
          <w:i w:val="0"/>
        </w:rPr>
        <w:t>Final Orders introduce the first case attribute whose value depends on learner responses, so this is the right moment to fix the data-handling posture rather than retrofit it. This section states what we intend to build and contains one specific request of UNMC.</w:t>
      </w:r>
    </w:p>
    <w:p>
      <w:r>
        <w:rPr>
          <w:b w:val="0"/>
          <w:i/>
        </w:rPr>
        <w:t>This is an engineering design position, not a legal determination. We would like it confirmed with UNMC counsel and the IRB before collection begins.</w:t>
      </w:r>
    </w:p>
    <w:p>
      <w:pPr>
        <w:pStyle w:val="Heading2"/>
      </w:pPr>
      <w:r>
        <w:t>9.1 The posture</w:t>
      </w:r>
    </w:p>
    <w:p>
      <w:r>
        <w:rPr>
          <w:b w:val="0"/>
          <w:i w:val="0"/>
        </w:rPr>
        <w:t>Students never enter names. The simulator issues an opaque code that the student downloads with their transcript and provides to the school; UNMC maps code to student.</w:t>
      </w:r>
    </w:p>
    <w:p>
      <w:r>
        <w:rPr>
          <w:b w:val="0"/>
          <w:i w:val="0"/>
        </w:rPr>
        <w:t>Avoiding FERPA entirely is likely not achievable for a system operated on behalf of a course, since a party acting for the institution is covered. The achievable and more useful goal is that the data we hold contains no student identifiers and no re-identification key. That places it within the coded-data provision at 34 CFR 99.31(b)(1), which contemplates exactly this arrangement and holds when three conditions are met: the code is not derived from student personally identifiable information, the code is not disclosed to us, and the institution does not disclose the key.</w:t>
      </w:r>
    </w:p>
    <w:p>
      <w:r>
        <w:rPr>
          <w:b/>
          <w:i w:val="0"/>
        </w:rPr>
        <w:t xml:space="preserve">Request of UNMC. </w:t>
      </w:r>
      <w:r>
        <w:rPr>
          <w:b w:val="0"/>
          <w:i w:val="0"/>
        </w:rPr>
        <w:t>We ask that UNMC generate and hold the code-to-student key, and that a written data-use agreement record that the key is never shared with the case-generation or simulator development team. All three conditions above are structural, and this agreement is what makes the arrangement demonstrable rather than merely asserted. We also ask that codes be random rather than derived from student data — a hashed NetID is not acceptable, because a hash over a small and guessable key space is reversible by enumeration and remains identifying.</w:t>
      </w:r>
    </w:p>
    <w:p>
      <w:r>
        <w:rPr>
          <w:b w:val="0"/>
          <w:i w:val="0"/>
        </w:rPr>
        <w:t>On our side, learner data will live in a database schema separate from case authoring data, so that access can be granted independently and the absence of a key can be shown rather than claimed.</w:t>
      </w:r>
    </w:p>
    <w:p>
      <w:pPr>
        <w:pStyle w:val="Heading2"/>
      </w:pPr>
      <w:r>
        <w:t>9.2 The exposure that matters is free text, not the schema</w:t>
      </w:r>
    </w:p>
    <w:p>
      <w:r>
        <w:rPr>
          <w:b w:val="0"/>
          <w:i w:val="0"/>
        </w:rPr>
        <w:t>Transcripts are free text, and a student will eventually say their name aloud. This cannot be prevented at the source and is the most underestimated risk in the design.</w:t>
      </w:r>
    </w:p>
    <w:p>
      <w:r>
        <w:rPr>
          <w:b w:val="0"/>
          <w:i w:val="0"/>
        </w:rPr>
        <w:t>A generic name scrubber would be actively harmful here: the simulated patient has a name that learners use legitimately throughout the encounter, so blanket person-name redaction would gut the transcript while still missing self-introductions phrased in unanticipated ways. We propose three layers, cheapest first.</w:t>
      </w:r>
    </w:p>
    <w:p>
      <w:pPr>
        <w:pStyle w:val="ListNumber"/>
      </w:pPr>
      <w:r>
        <w:t>Prevention. Orient the learner to introduce themselves as "Doctor" without a name, and instruct the patient persona never to ask for or repeat the learner's name. This removes most instances at no engineering cost and should ship before any redaction code.</w:t>
      </w:r>
    </w:p>
    <w:p>
      <w:pPr>
        <w:pStyle w:val="ListNumber"/>
      </w:pPr>
      <w:r>
        <w:t>Targeted redaction. Pattern-match self-referential introductions on learner turns only, with the case's patient names allowlisted. Redaction events are logged so the rate is observable — a high rate means the orientation copy needs revision.</w:t>
      </w:r>
    </w:p>
    <w:p>
      <w:pPr>
        <w:pStyle w:val="ListNumber"/>
      </w:pPr>
      <w:r>
        <w:t>Review flag rather than deletion. A model pass marks residual candidates for human review instead of removing them. Silent deletion of a false positive is unrecoverable, and the transcript is the primary research artifact.</w:t>
      </w:r>
    </w:p>
    <w:p>
      <w:r>
        <w:rPr>
          <w:b/>
          <w:i w:val="0"/>
        </w:rPr>
        <w:t xml:space="preserve">An open item we want to flag. </w:t>
      </w:r>
      <w:r>
        <w:rPr>
          <w:b w:val="0"/>
          <w:i w:val="0"/>
        </w:rPr>
        <w:t>Voice mode sends audio to a third-party vendor. Retained audio of a student's voice is identifying regardless of how clean the transcript is, and is a larger exposure than anything in the text pipeline. Vendor retention settings and the data processing agreement should be verified before voice mode is used with real students. We have not resolved this yet.</w:t>
      </w:r>
    </w:p>
    <w:p>
      <w:pPr>
        <w:pStyle w:val="Heading2"/>
      </w:pPr>
      <w:r>
        <w:t>9.3 Analytic exports</w:t>
      </w:r>
    </w:p>
    <w:p>
      <w:r>
        <w:rPr>
          <w:b w:val="0"/>
          <w:i w:val="0"/>
        </w:rPr>
        <w:t>Ten cases at a single institution produces small cells quickly. Broken down by case, student level, and attempt, cells reach single digits, and someone at UNMC who knows who ran which case when could re-identify — timestamps alone are often sufficient against a class schedule. Analytic exports will therefore coarsen timestamps to week or term, suppress small cells below an agreed threshold, draw from a separate analytic view rather than operational tables, and exclude free-text transcripts entirely.</w:t>
      </w:r>
    </w:p>
    <w:p>
      <w:pPr>
        <w:pStyle w:val="Heading2"/>
      </w:pPr>
      <w:r>
        <w:t>9.4 Process items</w:t>
      </w:r>
    </w:p>
    <w:p>
      <w:pPr>
        <w:pStyle w:val="ListBullet"/>
      </w:pPr>
      <w:r>
        <w:t>Written data-use agreement with UNMC recording that the key is never shared</w:t>
      </w:r>
    </w:p>
    <w:p>
      <w:pPr>
        <w:pStyle w:val="ListBullet"/>
      </w:pPr>
      <w:r>
        <w:t>IRB determination obtained in writing before collection, if publication is intended</w:t>
      </w:r>
    </w:p>
    <w:p>
      <w:pPr>
        <w:pStyle w:val="ListBullet"/>
      </w:pPr>
      <w:r>
        <w:t>Retention and deletion policy defined per case version</w:t>
      </w:r>
    </w:p>
    <w:p>
      <w:pPr>
        <w:pStyle w:val="ListBullet"/>
      </w:pPr>
      <w:r>
        <w:t>Vendor audio retention verified and documented</w:t>
      </w:r>
    </w:p>
    <w:p>
      <w:r>
        <w:rPr>
          <w:b w:val="0"/>
          <w:i/>
        </w:rPr>
        <w:t>The educational quality-improvement framing will likely land as exempt or not-human-subjects, but obtaining that determination retroactively is a well-known way to lose a dataset.</w:t>
      </w:r>
    </w:p>
    <w:p>
      <w:pPr>
        <w:pStyle w:val="Heading1"/>
      </w:pPr>
      <w:r>
        <w:t>10. Where this fits in the longer-term pipeline</w:t>
      </w:r>
    </w:p>
    <w:p>
      <w:r>
        <w:rPr>
          <w:b w:val="0"/>
          <w:i w:val="0"/>
        </w:rPr>
        <w:t>Final Orders is the first feature that requires the case record to be coherent, so it has surfaced structural work that the longer-term goals — authoring transparency at each step, easy editing and re-saving, LR transparency with model re-assessment, and per-case performance tracking — all depend on. Four decisions were taken in support of that direction.</w:t>
      </w:r>
    </w:p>
    <w:p>
      <w:r>
        <w:rPr>
          <w:b/>
          <w:i w:val="0"/>
        </w:rPr>
        <w:t xml:space="preserve">One case, one record. </w:t>
      </w:r>
      <w:r>
        <w:rPr>
          <w:b w:val="0"/>
          <w:i w:val="0"/>
        </w:rPr>
        <w:t>The generator currently offers an either/or choice between a simulator-compatible format and a full likelihood-ratio format. The sim-ready path in fact generates the complete diagnostic framework and LR matrix and then discards them, and the two formats write to separate databases that cannot be joined. Every case will now carry its full analysis in one record, and the format choice becomes an export preference.</w:t>
      </w:r>
    </w:p>
    <w:p>
      <w:r>
        <w:rPr>
          <w:b/>
          <w:i w:val="0"/>
        </w:rPr>
        <w:t xml:space="preserve">Structured content is canonical; the rendered case document is derived from it. </w:t>
      </w:r>
      <w:r>
        <w:rPr>
          <w:b w:val="0"/>
          <w:i w:val="0"/>
        </w:rPr>
        <w:t>Today the markdown document is the source of truth and can be hand-edited, after which the structured data and the document diverge permanently. Inverting this is what makes "same case, different patient age" a three-field change rather than a manual rewrite.</w:t>
      </w:r>
    </w:p>
    <w:p>
      <w:r>
        <w:rPr>
          <w:b/>
          <w:i w:val="0"/>
        </w:rPr>
        <w:t xml:space="preserve">Cases have stable identity and immutable published versions. </w:t>
      </w:r>
      <w:r>
        <w:rPr>
          <w:b w:val="0"/>
          <w:i w:val="0"/>
        </w:rPr>
        <w:t>Editing a case after students have run it makes before-and-after performance data incomparable, and nothing currently records that it happened. Version pinning is cheap now and unrecoverable later — which version a student saw cannot be reconstructed after the fact.</w:t>
      </w:r>
    </w:p>
    <w:p>
      <w:r>
        <w:rPr>
          <w:b/>
          <w:i w:val="0"/>
        </w:rPr>
        <w:t xml:space="preserve">Likelihood ratios get provenance and citation grounding where it exists. </w:t>
      </w:r>
      <w:r>
        <w:rPr>
          <w:b w:val="0"/>
          <w:i w:val="0"/>
        </w:rPr>
        <w:t>Model-generated LRs are the weakest scientific link in the system, and a re-assessment loop in which two models agree on a fabricated value improves internal consistency rather than external validity. Re-assessment will therefore return a range with a stated basis and attempt literature grounding through PubMed. Many LRs will have no published source; that will be recorded honestly and marked visibly rather than papered over.</w:t>
      </w:r>
    </w:p>
    <w:p>
      <w:r>
        <w:rPr>
          <w:b w:val="0"/>
          <w:i w:val="0"/>
        </w:rPr>
        <w:t>One result worth noting because it comes free. Storing learner responses per item rather than as a total score yields item difficulty and discrimination for each Final Order once enough runs accumulate. That gives two independent estimates of item quality — the Oracle's entropy as an a priori prediction, and observed learner variance as the empirical one. Comparing them is a publishable question, and it costs nothing provided the schema is granular from the start.</w:t>
      </w:r>
    </w:p>
    <w:p>
      <w:pPr>
        <w:pStyle w:val="Heading1"/>
      </w:pPr>
      <w:r>
        <w:t>11. Limitations and a proposed validation step</w:t>
      </w:r>
    </w:p>
    <w:p>
      <w:pPr>
        <w:pStyle w:val="ListBullet"/>
      </w:pPr>
      <w:r>
        <w:t>Persona prompting produces simulated heterogeneity, not real expert heterogeneity. The distribution should be described as model-derived throughout.</w:t>
      </w:r>
    </w:p>
    <w:p>
      <w:pPr>
        <w:pStyle w:val="ListBullet"/>
      </w:pPr>
      <w:r>
        <w:t>The panel is drawn from a single model family. Splitting the fifteen calls across two or more model families would better approximate an independent panel; we have kept panel composition configurable so this can be tested without a rewrite.</w:t>
      </w:r>
    </w:p>
    <w:p>
      <w:pPr>
        <w:pStyle w:val="ListBullet"/>
      </w:pPr>
      <w:r>
        <w:t>The blinded Oracle view is a reconstruction of what a fully informed clinician would know. It is not identical to what any learner sees, by design.</w:t>
      </w:r>
    </w:p>
    <w:p>
      <w:pPr>
        <w:pStyle w:val="ListBullet"/>
      </w:pPr>
      <w:r>
        <w:t>Appropriateness ratings are sensitive to stem wording, which is why Section 4 argues the wording so closely. Any change to the stem invalidates prior distributions and should trigger a re-run.</w:t>
      </w:r>
    </w:p>
    <w:p>
      <w:r>
        <w:rPr>
          <w:b/>
          <w:i w:val="0"/>
        </w:rPr>
        <w:t xml:space="preserve">Recommended validation. </w:t>
      </w:r>
      <w:r>
        <w:rPr>
          <w:b w:val="0"/>
          <w:i w:val="0"/>
        </w:rPr>
        <w:t>Run a small human expert panel — five to eight clinicians — on two or three cases and report the correlation between the human distribution and the model distribution. This is modest additional effort, it converts the Oracle from an assumption into a measured instrument, and it is most likely the difference between an internal tool and a publishable method. We suggest scheduling it alongside the existing spring expert review rounds rather than as separate work.</w:t>
      </w:r>
    </w:p>
    <w:p>
      <w:pPr>
        <w:pStyle w:val="Heading1"/>
      </w:pPr>
      <w:r>
        <w:t>12. Open questions for the research group</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
              <w:rPr>
                <w:b/>
                <w:sz w:val="20"/>
              </w:rPr>
              <w:t>#</w:t>
            </w:r>
          </w:p>
        </w:tc>
        <w:tc>
          <w:tcPr>
            <w:tcW w:type="dxa" w:w="4464"/>
          </w:tcPr>
          <w:p>
            <w:r/>
            <w:r>
              <w:rPr>
                <w:b/>
                <w:sz w:val="20"/>
              </w:rPr>
              <w:t>Question</w:t>
            </w:r>
          </w:p>
        </w:tc>
        <w:tc>
          <w:tcPr>
            <w:tcW w:type="dxa" w:w="4464"/>
          </w:tcPr>
          <w:p>
            <w:r/>
            <w:r>
              <w:rPr>
                <w:b/>
                <w:sz w:val="20"/>
              </w:rPr>
              <w:t>Our default if no direction is given</w:t>
            </w:r>
          </w:p>
        </w:tc>
      </w:tr>
      <w:tr>
        <w:tc>
          <w:tcPr>
            <w:tcW w:type="dxa" w:w="576"/>
          </w:tcPr>
          <w:p>
            <w:r/>
            <w:r>
              <w:rPr>
                <w:sz w:val="19"/>
              </w:rPr>
              <w:t>1</w:t>
            </w:r>
          </w:p>
        </w:tc>
        <w:tc>
          <w:tcPr>
            <w:tcW w:type="dxa" w:w="4464"/>
          </w:tcPr>
          <w:p>
            <w:r/>
            <w:r>
              <w:rPr>
                <w:sz w:val="19"/>
              </w:rPr>
              <w:t>Adopt the revised stem in Section 4.2?</w:t>
            </w:r>
          </w:p>
        </w:tc>
        <w:tc>
          <w:tcPr>
            <w:tcW w:type="dxa" w:w="4464"/>
          </w:tcPr>
          <w:p>
            <w:r/>
            <w:r>
              <w:rPr>
                <w:sz w:val="19"/>
              </w:rPr>
              <w:t>Adopt it; revert individual changes on request</w:t>
            </w:r>
          </w:p>
        </w:tc>
      </w:tr>
      <w:tr>
        <w:tc>
          <w:tcPr>
            <w:tcW w:type="dxa" w:w="576"/>
          </w:tcPr>
          <w:p>
            <w:r/>
            <w:r>
              <w:rPr>
                <w:sz w:val="19"/>
              </w:rPr>
              <w:t>2</w:t>
            </w:r>
          </w:p>
        </w:tc>
        <w:tc>
          <w:tcPr>
            <w:tcW w:type="dxa" w:w="4464"/>
          </w:tcPr>
          <w:p>
            <w:r/>
            <w:r>
              <w:rPr>
                <w:sz w:val="19"/>
              </w:rPr>
              <w:t>Does "fourth notch" map to reasoning effort "medium"?</w:t>
            </w:r>
          </w:p>
        </w:tc>
        <w:tc>
          <w:tcPr>
            <w:tcW w:type="dxa" w:w="4464"/>
          </w:tcPr>
          <w:p>
            <w:r/>
            <w:r>
              <w:rPr>
                <w:sz w:val="19"/>
              </w:rPr>
              <w:t>Use medium; confirm against the published ladder</w:t>
            </w:r>
          </w:p>
        </w:tc>
      </w:tr>
      <w:tr>
        <w:tc>
          <w:tcPr>
            <w:tcW w:type="dxa" w:w="576"/>
          </w:tcPr>
          <w:p>
            <w:r/>
            <w:r>
              <w:rPr>
                <w:sz w:val="19"/>
              </w:rPr>
              <w:t>3</w:t>
            </w:r>
          </w:p>
        </w:tc>
        <w:tc>
          <w:tcPr>
            <w:tcW w:type="dxa" w:w="4464"/>
          </w:tcPr>
          <w:p>
            <w:r/>
            <w:r>
              <w:rPr>
                <w:sz w:val="19"/>
              </w:rPr>
              <w:t>Approve the 15-role panel roster in Section 5.4?</w:t>
            </w:r>
          </w:p>
        </w:tc>
        <w:tc>
          <w:tcPr>
            <w:tcW w:type="dxa" w:w="4464"/>
          </w:tcPr>
          <w:p>
            <w:r/>
            <w:r>
              <w:rPr>
                <w:sz w:val="19"/>
              </w:rPr>
              <w:t>Proceed as listed; roster is versioned and revisable</w:t>
            </w:r>
          </w:p>
        </w:tc>
      </w:tr>
      <w:tr>
        <w:tc>
          <w:tcPr>
            <w:tcW w:type="dxa" w:w="576"/>
          </w:tcPr>
          <w:p>
            <w:r/>
            <w:r>
              <w:rPr>
                <w:sz w:val="19"/>
              </w:rPr>
              <w:t>4</w:t>
            </w:r>
          </w:p>
        </w:tc>
        <w:tc>
          <w:tcPr>
            <w:tcW w:type="dxa" w:w="4464"/>
          </w:tcPr>
          <w:p>
            <w:r/>
            <w:r>
              <w:rPr>
                <w:sz w:val="19"/>
              </w:rPr>
              <w:t>Include the stewardship and risk-averse panelists?</w:t>
            </w:r>
          </w:p>
        </w:tc>
        <w:tc>
          <w:tcPr>
            <w:tcW w:type="dxa" w:w="4464"/>
          </w:tcPr>
          <w:p>
            <w:r/>
            <w:r>
              <w:rPr>
                <w:sz w:val="19"/>
              </w:rPr>
              <w:t>Include them; rationale in Section 5.4</w:t>
            </w:r>
          </w:p>
        </w:tc>
      </w:tr>
      <w:tr>
        <w:tc>
          <w:tcPr>
            <w:tcW w:type="dxa" w:w="576"/>
          </w:tcPr>
          <w:p>
            <w:r/>
            <w:r>
              <w:rPr>
                <w:sz w:val="19"/>
              </w:rPr>
              <w:t>5</w:t>
            </w:r>
          </w:p>
        </w:tc>
        <w:tc>
          <w:tcPr>
            <w:tcW w:type="dxa" w:w="4464"/>
          </w:tcPr>
          <w:p>
            <w:r/>
            <w:r>
              <w:rPr>
                <w:sz w:val="19"/>
              </w:rPr>
              <w:t>Rename "Final Orders" to "Key Management Decisions"?</w:t>
            </w:r>
          </w:p>
        </w:tc>
        <w:tc>
          <w:tcPr>
            <w:tcW w:type="dxa" w:w="4464"/>
          </w:tcPr>
          <w:p>
            <w:r/>
            <w:r>
              <w:rPr>
                <w:sz w:val="19"/>
              </w:rPr>
              <w:t>Keep "Final Orders"</w:t>
            </w:r>
          </w:p>
        </w:tc>
      </w:tr>
      <w:tr>
        <w:tc>
          <w:tcPr>
            <w:tcW w:type="dxa" w:w="576"/>
          </w:tcPr>
          <w:p>
            <w:r/>
            <w:r>
              <w:rPr>
                <w:sz w:val="19"/>
              </w:rPr>
              <w:t>6</w:t>
            </w:r>
          </w:p>
        </w:tc>
        <w:tc>
          <w:tcPr>
            <w:tcW w:type="dxa" w:w="4464"/>
          </w:tcPr>
          <w:p>
            <w:r/>
            <w:r>
              <w:rPr>
                <w:sz w:val="19"/>
              </w:rPr>
              <w:t>Collect learner ratings in phase 3, before any reveal?</w:t>
            </w:r>
          </w:p>
        </w:tc>
        <w:tc>
          <w:tcPr>
            <w:tcW w:type="dxa" w:w="4464"/>
          </w:tcPr>
          <w:p>
            <w:r/>
            <w:r>
              <w:rPr>
                <w:sz w:val="19"/>
              </w:rPr>
              <w:t>Yes — phase 4 makes the ratings uninterpretable</w:t>
            </w:r>
          </w:p>
        </w:tc>
      </w:tr>
      <w:tr>
        <w:tc>
          <w:tcPr>
            <w:tcW w:type="dxa" w:w="576"/>
          </w:tcPr>
          <w:p>
            <w:r/>
            <w:r>
              <w:rPr>
                <w:sz w:val="19"/>
              </w:rPr>
              <w:t>7</w:t>
            </w:r>
          </w:p>
        </w:tc>
        <w:tc>
          <w:tcPr>
            <w:tcW w:type="dxa" w:w="4464"/>
          </w:tcPr>
          <w:p>
            <w:r/>
            <w:r>
              <w:rPr>
                <w:sz w:val="19"/>
              </w:rPr>
              <w:t>Split the panel across two model families?</w:t>
            </w:r>
          </w:p>
        </w:tc>
        <w:tc>
          <w:tcPr>
            <w:tcW w:type="dxa" w:w="4464"/>
          </w:tcPr>
          <w:p>
            <w:r/>
            <w:r>
              <w:rPr>
                <w:sz w:val="19"/>
              </w:rPr>
              <w:t>Single family for v1; keep it configurable</w:t>
            </w:r>
          </w:p>
        </w:tc>
      </w:tr>
      <w:tr>
        <w:tc>
          <w:tcPr>
            <w:tcW w:type="dxa" w:w="576"/>
          </w:tcPr>
          <w:p>
            <w:r/>
            <w:r>
              <w:rPr>
                <w:sz w:val="19"/>
              </w:rPr>
              <w:t>8</w:t>
            </w:r>
          </w:p>
        </w:tc>
        <w:tc>
          <w:tcPr>
            <w:tcW w:type="dxa" w:w="4464"/>
          </w:tcPr>
          <w:p>
            <w:r/>
            <w:r>
              <w:rPr>
                <w:sz w:val="19"/>
              </w:rPr>
              <w:t>Schedule the human validation panel in Section 11?</w:t>
            </w:r>
          </w:p>
        </w:tc>
        <w:tc>
          <w:tcPr>
            <w:tcW w:type="dxa" w:w="4464"/>
          </w:tcPr>
          <w:p>
            <w:r/>
            <w:r>
              <w:rPr>
                <w:sz w:val="19"/>
              </w:rPr>
              <w:t>Propose it alongside spring expert review</w:t>
            </w:r>
          </w:p>
        </w:tc>
      </w:tr>
      <w:tr>
        <w:tc>
          <w:tcPr>
            <w:tcW w:type="dxa" w:w="576"/>
          </w:tcPr>
          <w:p>
            <w:r/>
            <w:r>
              <w:rPr>
                <w:sz w:val="19"/>
              </w:rPr>
              <w:t>9</w:t>
            </w:r>
          </w:p>
        </w:tc>
        <w:tc>
          <w:tcPr>
            <w:tcW w:type="dxa" w:w="4464"/>
          </w:tcPr>
          <w:p>
            <w:r/>
            <w:r>
              <w:rPr>
                <w:sz w:val="19"/>
              </w:rPr>
              <w:t>Will UNMC hold the key under a written agreement (Section 9.1)?</w:t>
            </w:r>
          </w:p>
        </w:tc>
        <w:tc>
          <w:tcPr>
            <w:tcW w:type="dxa" w:w="4464"/>
          </w:tcPr>
          <w:p>
            <w:r/>
            <w:r>
              <w:rPr>
                <w:sz w:val="19"/>
              </w:rPr>
              <w:t>Proceed on that assumption; confirm before collection</w:t>
            </w:r>
          </w:p>
        </w:tc>
      </w:tr>
      <w:tr>
        <w:tc>
          <w:tcPr>
            <w:tcW w:type="dxa" w:w="576"/>
          </w:tcPr>
          <w:p>
            <w:r/>
            <w:r>
              <w:rPr>
                <w:sz w:val="19"/>
              </w:rPr>
              <w:t>10</w:t>
            </w:r>
          </w:p>
        </w:tc>
        <w:tc>
          <w:tcPr>
            <w:tcW w:type="dxa" w:w="4464"/>
          </w:tcPr>
          <w:p>
            <w:r/>
            <w:r>
              <w:rPr>
                <w:sz w:val="19"/>
              </w:rPr>
              <w:t>Who owns IRB determination and by when?</w:t>
            </w:r>
          </w:p>
        </w:tc>
        <w:tc>
          <w:tcPr>
            <w:tcW w:type="dxa" w:w="4464"/>
          </w:tcPr>
          <w:p>
            <w:r/>
            <w:r>
              <w:rPr>
                <w:sz w:val="19"/>
              </w:rPr>
              <w:t>Flagged as a process item; not yet assigned</w:t>
            </w:r>
          </w:p>
        </w:tc>
      </w:tr>
    </w:tbl>
    <w:p/>
    <w:p>
      <w:r>
        <w:br w:type="page"/>
      </w:r>
    </w:p>
    <w:p>
      <w:pPr>
        <w:pStyle w:val="Heading1"/>
      </w:pPr>
      <w:r>
        <w:t>Appendix A. Oracle prompt template, version 0.1</w:t>
      </w:r>
    </w:p>
    <w:p>
      <w:r>
        <w:rPr>
          <w:b/>
          <w:i w:val="0"/>
        </w:rPr>
        <w:t>System message:</w:t>
      </w:r>
    </w:p>
    <w:p>
      <w:pPr>
        <w:spacing w:after="80"/>
        <w:ind w:left="432"/>
      </w:pPr>
      <w:r>
        <w:rPr>
          <w:rFonts w:ascii="Consolas" w:hAnsi="Consolas"/>
          <w:sz w:val="19"/>
        </w:rPr>
        <w:t>You are {persona_description}.</w:t>
      </w:r>
    </w:p>
    <w:p>
      <w:pPr>
        <w:spacing w:after="80"/>
        <w:ind w:left="432"/>
      </w:pPr>
      <w:r>
        <w:rPr>
          <w:rFonts w:ascii="Consolas" w:hAnsi="Consolas"/>
          <w:sz w:val="19"/>
        </w:rPr>
      </w:r>
    </w:p>
    <w:p>
      <w:pPr>
        <w:spacing w:after="80"/>
        <w:ind w:left="432"/>
      </w:pPr>
      <w:r>
        <w:rPr>
          <w:rFonts w:ascii="Consolas" w:hAnsi="Consolas"/>
          <w:sz w:val="19"/>
        </w:rPr>
        <w:t>You are serving on a reference panel rating the appropriateness of specific</w:t>
      </w:r>
    </w:p>
    <w:p>
      <w:pPr>
        <w:spacing w:after="80"/>
        <w:ind w:left="432"/>
      </w:pPr>
      <w:r>
        <w:rPr>
          <w:rFonts w:ascii="Consolas" w:hAnsi="Consolas"/>
          <w:sz w:val="19"/>
        </w:rPr>
        <w:t>clinical actions in a documented patient encounter. Rate based on your own</w:t>
      </w:r>
    </w:p>
    <w:p>
      <w:pPr>
        <w:spacing w:after="80"/>
        <w:ind w:left="432"/>
      </w:pPr>
      <w:r>
        <w:rPr>
          <w:rFonts w:ascii="Consolas" w:hAnsi="Consolas"/>
          <w:sz w:val="19"/>
        </w:rPr>
        <w:t>clinical judgment and practice pattern. There is no answer key; panelists</w:t>
      </w:r>
    </w:p>
    <w:p>
      <w:pPr>
        <w:spacing w:after="80"/>
        <w:ind w:left="432"/>
      </w:pPr>
      <w:r>
        <w:rPr>
          <w:rFonts w:ascii="Consolas" w:hAnsi="Consolas"/>
          <w:sz w:val="19"/>
        </w:rPr>
        <w:t>are expected to disagree, and your honest rating is more useful than a</w:t>
      </w:r>
    </w:p>
    <w:p>
      <w:pPr>
        <w:spacing w:after="80"/>
        <w:ind w:left="432"/>
      </w:pPr>
      <w:r>
        <w:rPr>
          <w:rFonts w:ascii="Consolas" w:hAnsi="Consolas"/>
          <w:sz w:val="19"/>
        </w:rPr>
        <w:t>consensus-seeking one.</w:t>
      </w:r>
    </w:p>
    <w:p>
      <w:pPr>
        <w:spacing w:after="80"/>
        <w:ind w:left="432"/>
      </w:pPr>
      <w:r>
        <w:rPr>
          <w:rFonts w:ascii="Consolas" w:hAnsi="Consolas"/>
          <w:sz w:val="19"/>
        </w:rPr>
      </w:r>
    </w:p>
    <w:p>
      <w:pPr>
        <w:spacing w:after="80"/>
        <w:ind w:left="432"/>
      </w:pPr>
      <w:r>
        <w:rPr>
          <w:rFonts w:ascii="Consolas" w:hAnsi="Consolas"/>
          <w:sz w:val="19"/>
        </w:rPr>
        <w:t>You have not been told the final diagnosis and should not assume one has</w:t>
      </w:r>
    </w:p>
    <w:p>
      <w:pPr>
        <w:spacing w:after="80"/>
        <w:ind w:left="432"/>
      </w:pPr>
      <w:r>
        <w:rPr>
          <w:rFonts w:ascii="Consolas" w:hAnsi="Consolas"/>
          <w:sz w:val="19"/>
        </w:rPr>
        <w:t>been established.</w:t>
      </w:r>
    </w:p>
    <w:p>
      <w:r>
        <w:rPr>
          <w:b/>
          <w:i w:val="0"/>
        </w:rPr>
        <w:t>User message:</w:t>
      </w:r>
    </w:p>
    <w:p>
      <w:pPr>
        <w:spacing w:after="80"/>
        <w:ind w:left="432"/>
      </w:pPr>
      <w:r>
        <w:rPr>
          <w:rFonts w:ascii="Consolas" w:hAnsi="Consolas"/>
          <w:sz w:val="19"/>
        </w:rPr>
        <w:t>CASE RECORD</w:t>
      </w:r>
    </w:p>
    <w:p>
      <w:pPr>
        <w:spacing w:after="80"/>
        <w:ind w:left="432"/>
      </w:pPr>
      <w:r>
        <w:rPr>
          <w:rFonts w:ascii="Consolas" w:hAnsi="Consolas"/>
          <w:sz w:val="19"/>
        </w:rPr>
        <w:t>{blinded_oracle_view}</w:t>
      </w:r>
    </w:p>
    <w:p>
      <w:pPr>
        <w:spacing w:after="80"/>
        <w:ind w:left="432"/>
      </w:pPr>
      <w:r>
        <w:rPr>
          <w:rFonts w:ascii="Consolas" w:hAnsi="Consolas"/>
          <w:sz w:val="19"/>
        </w:rPr>
      </w:r>
    </w:p>
    <w:p>
      <w:pPr>
        <w:spacing w:after="80"/>
        <w:ind w:left="432"/>
      </w:pPr>
      <w:r>
        <w:rPr>
          <w:rFonts w:ascii="Consolas" w:hAnsi="Consolas"/>
          <w:sz w:val="19"/>
        </w:rPr>
        <w:t>QUESTION</w:t>
      </w:r>
    </w:p>
    <w:p>
      <w:pPr>
        <w:spacing w:after="80"/>
        <w:ind w:left="432"/>
      </w:pPr>
      <w:r>
        <w:rPr>
          <w:rFonts w:ascii="Consolas" w:hAnsi="Consolas"/>
          <w:sz w:val="19"/>
        </w:rPr>
        <w:t>Based on all clinical information documented in this case record, and before</w:t>
      </w:r>
    </w:p>
    <w:p>
      <w:pPr>
        <w:spacing w:after="80"/>
        <w:ind w:left="432"/>
      </w:pPr>
      <w:r>
        <w:rPr>
          <w:rFonts w:ascii="Consolas" w:hAnsi="Consolas"/>
          <w:sz w:val="19"/>
        </w:rPr>
        <w:t>any pending results return, {order_text} now would be:</w:t>
      </w:r>
    </w:p>
    <w:p>
      <w:pPr>
        <w:spacing w:after="80"/>
        <w:ind w:left="432"/>
      </w:pPr>
      <w:r>
        <w:rPr>
          <w:rFonts w:ascii="Consolas" w:hAnsi="Consolas"/>
          <w:sz w:val="19"/>
        </w:rPr>
      </w:r>
    </w:p>
    <w:p>
      <w:pPr>
        <w:spacing w:after="80"/>
        <w:ind w:left="432"/>
      </w:pPr>
      <w:r>
        <w:rPr>
          <w:rFonts w:ascii="Consolas" w:hAnsi="Consolas"/>
          <w:sz w:val="19"/>
        </w:rPr>
        <w:t xml:space="preserve">  -2 = Clearly inappropriate</w:t>
      </w:r>
    </w:p>
    <w:p>
      <w:pPr>
        <w:spacing w:after="80"/>
        <w:ind w:left="432"/>
      </w:pPr>
      <w:r>
        <w:rPr>
          <w:rFonts w:ascii="Consolas" w:hAnsi="Consolas"/>
          <w:sz w:val="19"/>
        </w:rPr>
        <w:t xml:space="preserve">  -1 = Probably inappropriate</w:t>
      </w:r>
    </w:p>
    <w:p>
      <w:pPr>
        <w:spacing w:after="80"/>
        <w:ind w:left="432"/>
      </w:pPr>
      <w:r>
        <w:rPr>
          <w:rFonts w:ascii="Consolas" w:hAnsi="Consolas"/>
          <w:sz w:val="19"/>
        </w:rPr>
        <w:t xml:space="preserve">   0 = Equally appropriate to order or not to order</w:t>
      </w:r>
    </w:p>
    <w:p>
      <w:pPr>
        <w:spacing w:after="80"/>
        <w:ind w:left="432"/>
      </w:pPr>
      <w:r>
        <w:rPr>
          <w:rFonts w:ascii="Consolas" w:hAnsi="Consolas"/>
          <w:sz w:val="19"/>
        </w:rPr>
        <w:t xml:space="preserve">  +1 = Probably appropriate</w:t>
      </w:r>
    </w:p>
    <w:p>
      <w:pPr>
        <w:spacing w:after="80"/>
        <w:ind w:left="432"/>
      </w:pPr>
      <w:r>
        <w:rPr>
          <w:rFonts w:ascii="Consolas" w:hAnsi="Consolas"/>
          <w:sz w:val="19"/>
        </w:rPr>
        <w:t xml:space="preserve">  +2 = Clearly appropriate</w:t>
      </w:r>
    </w:p>
    <w:p>
      <w:pPr>
        <w:spacing w:after="80"/>
        <w:ind w:left="432"/>
      </w:pPr>
      <w:r>
        <w:rPr>
          <w:rFonts w:ascii="Consolas" w:hAnsi="Consolas"/>
          <w:sz w:val="19"/>
        </w:rPr>
      </w:r>
    </w:p>
    <w:p>
      <w:pPr>
        <w:spacing w:after="80"/>
        <w:ind w:left="432"/>
      </w:pPr>
      <w:r>
        <w:rPr>
          <w:rFonts w:ascii="Consolas" w:hAnsi="Consolas"/>
          <w:sz w:val="19"/>
        </w:rPr>
        <w:t>Respond with:</w:t>
      </w:r>
    </w:p>
    <w:p>
      <w:pPr>
        <w:spacing w:after="80"/>
        <w:ind w:left="432"/>
      </w:pPr>
      <w:r>
        <w:rPr>
          <w:rFonts w:ascii="Consolas" w:hAnsi="Consolas"/>
          <w:sz w:val="19"/>
        </w:rPr>
        <w:t xml:space="preserve">  rating          integer from -2 to +2</w:t>
      </w:r>
    </w:p>
    <w:p>
      <w:pPr>
        <w:spacing w:after="80"/>
        <w:ind w:left="432"/>
      </w:pPr>
      <w:r>
        <w:rPr>
          <w:rFonts w:ascii="Consolas" w:hAnsi="Consolas"/>
          <w:sz w:val="19"/>
        </w:rPr>
        <w:t xml:space="preserve">  rationale       2-3 sentences</w:t>
      </w:r>
    </w:p>
    <w:p>
      <w:pPr>
        <w:spacing w:after="80"/>
        <w:ind w:left="432"/>
      </w:pPr>
      <w:r>
        <w:rPr>
          <w:rFonts w:ascii="Consolas" w:hAnsi="Consolas"/>
          <w:sz w:val="19"/>
        </w:rPr>
        <w:t xml:space="preserve">  top_concerns    the 2-3 diagnoses you are most concerned about</w:t>
      </w:r>
    </w:p>
    <w:p>
      <w:r>
        <w:rPr>
          <w:b w:val="0"/>
          <w:i/>
        </w:rPr>
        <w:t>The response is parsed through a structured-output schema so that a malformed rating is recorded as a parse failure rather than silently coerced.</w:t>
      </w:r>
    </w:p>
    <w:p>
      <w:pPr>
        <w:pStyle w:val="Heading1"/>
      </w:pPr>
      <w:r>
        <w:t>Appendix B. Estimated cost and runtime per case</w:t>
      </w:r>
    </w:p>
    <w:tbl>
      <w:tblPr>
        <w:tblStyle w:val="LightGrid-Accent1"/>
        <w:tblW w:type="auto" w:w="0"/>
        <w:jc w:val="center"/>
        <w:tblLook w:firstColumn="1" w:firstRow="1" w:lastColumn="0" w:lastRow="0" w:noHBand="0" w:noVBand="1" w:val="04A0"/>
      </w:tblPr>
      <w:tblGrid>
        <w:gridCol w:w="4320"/>
        <w:gridCol w:w="4320"/>
      </w:tblGrid>
      <w:tr>
        <w:tc>
          <w:tcPr>
            <w:tcW w:type="dxa" w:w="4032"/>
          </w:tcPr>
          <w:p>
            <w:r/>
            <w:r>
              <w:rPr>
                <w:b/>
                <w:sz w:val="20"/>
              </w:rPr>
              <w:t>Quantity</w:t>
            </w:r>
          </w:p>
        </w:tc>
        <w:tc>
          <w:tcPr>
            <w:tcW w:type="dxa" w:w="5472"/>
          </w:tcPr>
          <w:p>
            <w:r/>
            <w:r>
              <w:rPr>
                <w:b/>
                <w:sz w:val="20"/>
              </w:rPr>
              <w:t>Value</w:t>
            </w:r>
          </w:p>
        </w:tc>
      </w:tr>
      <w:tr>
        <w:tc>
          <w:tcPr>
            <w:tcW w:type="dxa" w:w="4032"/>
          </w:tcPr>
          <w:p>
            <w:r/>
            <w:r>
              <w:rPr>
                <w:sz w:val="19"/>
              </w:rPr>
              <w:t>Calls per case</w:t>
            </w:r>
          </w:p>
        </w:tc>
        <w:tc>
          <w:tcPr>
            <w:tcW w:type="dxa" w:w="5472"/>
          </w:tcPr>
          <w:p>
            <w:r/>
            <w:r>
              <w:rPr>
                <w:sz w:val="19"/>
              </w:rPr>
              <w:t>75 (5 Final Orders x 15 panelists)</w:t>
            </w:r>
          </w:p>
        </w:tc>
      </w:tr>
      <w:tr>
        <w:tc>
          <w:tcPr>
            <w:tcW w:type="dxa" w:w="4032"/>
          </w:tcPr>
          <w:p>
            <w:r/>
            <w:r>
              <w:rPr>
                <w:sz w:val="19"/>
              </w:rPr>
              <w:t>Input tokens per call</w:t>
            </w:r>
          </w:p>
        </w:tc>
        <w:tc>
          <w:tcPr>
            <w:tcW w:type="dxa" w:w="5472"/>
          </w:tcPr>
          <w:p>
            <w:r/>
            <w:r>
              <w:rPr>
                <w:sz w:val="19"/>
              </w:rPr>
              <w:t>approximately 3,000-5,000 (blinded case view)</w:t>
            </w:r>
          </w:p>
        </w:tc>
      </w:tr>
      <w:tr>
        <w:tc>
          <w:tcPr>
            <w:tcW w:type="dxa" w:w="4032"/>
          </w:tcPr>
          <w:p>
            <w:r/>
            <w:r>
              <w:rPr>
                <w:sz w:val="19"/>
              </w:rPr>
              <w:t>Output tokens per call</w:t>
            </w:r>
          </w:p>
        </w:tc>
        <w:tc>
          <w:tcPr>
            <w:tcW w:type="dxa" w:w="5472"/>
          </w:tcPr>
          <w:p>
            <w:r/>
            <w:r>
              <w:rPr>
                <w:sz w:val="19"/>
              </w:rPr>
              <w:t>approximately 200-400 plus reasoning tokens</w:t>
            </w:r>
          </w:p>
        </w:tc>
      </w:tr>
      <w:tr>
        <w:tc>
          <w:tcPr>
            <w:tcW w:type="dxa" w:w="4032"/>
          </w:tcPr>
          <w:p>
            <w:r/>
            <w:r>
              <w:rPr>
                <w:sz w:val="19"/>
              </w:rPr>
              <w:t>Wall-clock at concurrency 8</w:t>
            </w:r>
          </w:p>
        </w:tc>
        <w:tc>
          <w:tcPr>
            <w:tcW w:type="dxa" w:w="5472"/>
          </w:tcPr>
          <w:p>
            <w:r/>
            <w:r>
              <w:rPr>
                <w:sz w:val="19"/>
              </w:rPr>
              <w:t>approximately 3-5 minutes</w:t>
            </w:r>
          </w:p>
        </w:tc>
      </w:tr>
      <w:tr>
        <w:tc>
          <w:tcPr>
            <w:tcW w:type="dxa" w:w="4032"/>
          </w:tcPr>
          <w:p>
            <w:r/>
            <w:r>
              <w:rPr>
                <w:sz w:val="19"/>
              </w:rPr>
              <w:t>Frequency</w:t>
            </w:r>
          </w:p>
        </w:tc>
        <w:tc>
          <w:tcPr>
            <w:tcW w:type="dxa" w:w="5472"/>
          </w:tcPr>
          <w:p>
            <w:r/>
            <w:r>
              <w:rPr>
                <w:sz w:val="19"/>
              </w:rPr>
              <w:t>Once per case at finalization; re-run only on content change</w:t>
            </w:r>
          </w:p>
        </w:tc>
      </w:tr>
    </w:tbl>
    <w:p/>
    <w:p>
      <w:r>
        <w:rPr>
          <w:b w:val="0"/>
          <w:i/>
        </w:rPr>
        <w:t>Cost is modest and consistent with Cory's expectation. Runtime, not cost, is the binding constraint, which is why finalization returns immediately and the panel runs in the background.</w:t>
      </w:r>
    </w:p>
    <w:p>
      <w:r>
        <w:br w:type="page"/>
      </w:r>
    </w:p>
    <w:p>
      <w:pPr>
        <w:pStyle w:val="Heading1"/>
      </w:pPr>
      <w:r>
        <w:t>Appendix C. The original requests, verbatim</w:t>
      </w:r>
    </w:p>
    <w:p>
      <w:r>
        <w:rPr>
          <w:b w:val="0"/>
          <w:i/>
        </w:rPr>
        <w:t>Reproduced unedited from Cory's message so this document can be checked against what was actually asked rather than against our paraphrase of it. Section 2 maps each item to where it is addressed.</w:t>
      </w:r>
    </w:p>
    <w:p>
      <w:r>
        <w:rPr>
          <w:b/>
          <w:i w:val="0"/>
        </w:rPr>
        <w:t>Immediate priority: prepare the OSCE/SCT workflow</w:t>
      </w:r>
    </w:p>
    <w:p>
      <w:r>
        <w:rPr>
          <w:b w:val="0"/>
          <w:i w:val="0"/>
        </w:rPr>
        <w:t>Cory wants you to focus almost exclusively on the OSCE build over the next six weeks, rather than expanding the broader analytics work. Your first deliverable is a working update to the case generator that Cory and Alex can test.</w:t>
      </w:r>
    </w:p>
    <w:p>
      <w:r>
        <w:rPr>
          <w:b/>
          <w:i w:val="0"/>
        </w:rPr>
        <w:t>1. Add “Final Orders” to the case generator</w:t>
      </w:r>
    </w:p>
    <w:p>
      <w:r>
        <w:rPr>
          <w:b w:val="0"/>
          <w:i w:val="0"/>
        </w:rPr>
        <w:t>Add a section called Final Orders to each generated case. The case author should be able to enter up to approximately five diagnostic tests, treatments, consultations, activations, or other actions whose appropriateness will later be rated by the learner. Examples: ordering a brain MRI; ordering an echocardiogram; obtaining a PET scan; activating the stroke team.</w:t>
      </w:r>
    </w:p>
    <w:p>
      <w:r>
        <w:rPr>
          <w:b w:val="0"/>
          <w:i w:val="0"/>
        </w:rPr>
        <w:t>Use a common learner-facing stem such as:</w:t>
      </w:r>
    </w:p>
    <w:p>
      <w:pPr>
        <w:spacing w:after="80"/>
        <w:ind w:left="432"/>
      </w:pPr>
      <w:r>
        <w:rPr>
          <w:rFonts w:ascii="Consolas" w:hAnsi="Consolas"/>
          <w:sz w:val="19"/>
        </w:rPr>
        <w:t>Considering the information available in this case, the appropriateness of</w:t>
      </w:r>
    </w:p>
    <w:p>
      <w:pPr>
        <w:spacing w:after="80"/>
        <w:ind w:left="432"/>
      </w:pPr>
      <w:r>
        <w:rPr>
          <w:rFonts w:ascii="Consolas" w:hAnsi="Consolas"/>
          <w:sz w:val="19"/>
        </w:rPr>
        <w:t>[final order] is:</w:t>
      </w:r>
    </w:p>
    <w:p>
      <w:r>
        <w:rPr>
          <w:b w:val="0"/>
          <w:i w:val="0"/>
        </w:rPr>
        <w:t>The answer should use the SCT-style Likert scale already shown in Alex’s example. The feature should be case-specific and optional: if no Final Order fields are populated, the case proceeds without this step; if they are populated, the simulator will eventually present them. No global administrative toggle is needed.</w:t>
      </w:r>
    </w:p>
    <w:p>
      <w:r>
        <w:rPr>
          <w:b/>
          <w:i w:val="0"/>
        </w:rPr>
        <w:t>2. Persist the new fields in the database</w:t>
      </w:r>
    </w:p>
    <w:p>
      <w:r>
        <w:rPr>
          <w:b w:val="0"/>
          <w:i w:val="0"/>
        </w:rPr>
        <w:t>This should be implemented as a foundational case attribute rather than as a temporary admin-dashboard setting. That means updating: the case generator; the database schema; case serialization and retrieval; eventually, the simulator; eventually, the assessment and feedback pipeline. For the first iteration, Cory is comfortable creating new cases with the new schema rather than immediately supporting editing or migrating every existing case.</w:t>
      </w:r>
    </w:p>
    <w:p>
      <w:r>
        <w:rPr>
          <w:b/>
          <w:i w:val="0"/>
        </w:rPr>
        <w:t>3. Prevent disclosure of Final Order results during the simulation</w:t>
      </w:r>
    </w:p>
    <w:p>
      <w:r>
        <w:rPr>
          <w:b w:val="0"/>
          <w:i w:val="0"/>
        </w:rPr>
        <w:t>The simulator must not reveal information that would answer the Final Order question. For example, if the Final Order is an echocardiogram and the learner orders it during the encounter, the system should acknowledge the order but not provide the result. It could respond that the result is pending or that consultant recommendations are pending. The purpose is to preserve uncertainty until the learner rates the reasonableness of that order.</w:t>
      </w:r>
    </w:p>
    <w:p>
      <w:r>
        <w:rPr>
          <w:b/>
          <w:i w:val="0"/>
        </w:rPr>
        <w:t>4. Generate an Oracle/SCT reference distribution during case creation</w:t>
      </w:r>
    </w:p>
    <w:p>
      <w:r>
        <w:rPr>
          <w:b w:val="0"/>
          <w:i w:val="0"/>
        </w:rPr>
        <w:t>For each Final Order, add a case-generation step that sends the completed case to an advanced LLM multiple times and records the distribution of SCT ratings. Current working specification:</w:t>
      </w:r>
    </w:p>
    <w:p>
      <w:pPr>
        <w:pStyle w:val="ListBullet"/>
      </w:pPr>
      <w:r>
        <w:t>Approximately 15 independent calls</w:t>
      </w:r>
    </w:p>
    <w:p>
      <w:pPr>
        <w:pStyle w:val="ListBullet"/>
      </w:pPr>
      <w:r>
        <w:t>Potentially make the number configurable</w:t>
      </w:r>
    </w:p>
    <w:p>
      <w:pPr>
        <w:pStyle w:val="ListBullet"/>
      </w:pPr>
      <w:r>
        <w:t>Use a high-performing model</w:t>
      </w:r>
    </w:p>
    <w:p>
      <w:pPr>
        <w:pStyle w:val="ListBullet"/>
      </w:pPr>
      <w:r>
        <w:t>Use substantial but not maximal reasoning effort, approximately “fourth notch” rather than the highest setting</w:t>
      </w:r>
    </w:p>
    <w:p>
      <w:pPr>
        <w:pStyle w:val="ListBullet"/>
      </w:pPr>
      <w:r>
        <w:t>Each call should receive the maximum information available in the case</w:t>
      </w:r>
    </w:p>
    <w:p>
      <w:pPr>
        <w:pStyle w:val="ListBullet"/>
      </w:pPr>
      <w:r>
        <w:t>The model should be blinded to the ground-truth diagnosis or other information that would improperly reveal the intended answer</w:t>
      </w:r>
    </w:p>
    <w:p>
      <w:pPr>
        <w:pStyle w:val="ListBullet"/>
      </w:pPr>
      <w:r>
        <w:t>Ask the model to rate the appropriateness of the Final Order and explain its reasoning</w:t>
      </w:r>
    </w:p>
    <w:p>
      <w:r>
        <w:rPr>
          <w:b w:val="0"/>
          <w:i w:val="0"/>
        </w:rPr>
        <w:t>This is performed once during case generation, not separately for every learner, so compute cost should be modest. The exact prompt and model-comparison methodology can be refined later. The immediate goal is a reasonable, reproducible implementation.</w:t>
      </w:r>
    </w:p>
    <w:p>
      <w:r>
        <w:rPr>
          <w:b/>
          <w:i w:val="0"/>
        </w:rPr>
        <w:t>5. Do not yet fully integrate the LLM consensus into learner feedback</w:t>
      </w:r>
    </w:p>
    <w:p>
      <w:r>
        <w:rPr>
          <w:b w:val="0"/>
          <w:i w:val="0"/>
        </w:rPr>
        <w:t>The LLM “wisdom of the crowd” reference distribution should initially be generated and stored with the case. However, Cory agreed that full integration into learner-facing feedback is more complex and does not need to be completed immediately. Eventually, the feedback may compare: the Oracle/reference distribution; the learner’s rating; the information the learner actually collected; whether missing information explains any calibration gap.</w:t>
      </w:r>
    </w:p>
    <w:p>
      <w:r>
        <w:br w:type="page"/>
      </w:r>
    </w:p>
    <w:p>
      <w:pPr>
        <w:pStyle w:val="Heading1"/>
      </w:pPr>
      <w:r>
        <w:t>Appendix D. What the Oracle produces — illustrative</w:t>
      </w:r>
    </w:p>
    <w:p>
      <w:r>
        <w:rPr>
          <w:b/>
          <w:color w:val="992525"/>
        </w:rPr>
        <w:t>ILLUSTRATIVE ONLY — NOT PILOT DATA. The Oracle panel has not been built, so no real distributions exist yet. The numbers below are invented to show the shape of the output and what an author would act on. They are internally consistent (the statistics are computed from the counts shown) but they are not measurements, and must not be cited as results.</w:t>
      </w:r>
    </w:p>
    <w:p>
      <w:r>
        <w:rPr>
          <w:b w:val="0"/>
          <w:i w:val="0"/>
        </w:rPr>
        <w:t>Two Final Orders on the same hypothetical dizziness case, one informative and one not. The contrast is the point: the panel is as useful for rejecting weak items before they ship as it is for scoring good ones.</w:t>
      </w:r>
    </w:p>
    <w:p>
      <w:pPr>
        <w:pStyle w:val="Heading2"/>
      </w:pPr>
      <w:r>
        <w:t>Item A — “ordering a brain MRI”</w:t>
      </w:r>
    </w:p>
    <w:p>
      <w:r>
        <w:rPr>
          <w:b w:val="0"/>
          <w:i w:val="0"/>
        </w:rPr>
        <w:t>Panel of 15. Ratings, one call per panelist: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016"/>
          </w:tcPr>
          <w:p>
            <w:r/>
            <w:r>
              <w:rPr>
                <w:b/>
                <w:sz w:val="20"/>
              </w:rPr>
              <w:t>Rating</w:t>
            </w:r>
          </w:p>
        </w:tc>
        <w:tc>
          <w:tcPr>
            <w:tcW w:type="dxa" w:w="1296"/>
          </w:tcPr>
          <w:p>
            <w:r/>
            <w:r>
              <w:rPr>
                <w:b/>
                <w:sz w:val="20"/>
              </w:rPr>
              <w:t>−2</w:t>
            </w:r>
          </w:p>
        </w:tc>
        <w:tc>
          <w:tcPr>
            <w:tcW w:type="dxa" w:w="1296"/>
          </w:tcPr>
          <w:p>
            <w:r/>
            <w:r>
              <w:rPr>
                <w:b/>
                <w:sz w:val="20"/>
              </w:rPr>
              <w:t>−1</w:t>
            </w:r>
          </w:p>
        </w:tc>
        <w:tc>
          <w:tcPr>
            <w:tcW w:type="dxa" w:w="1296"/>
          </w:tcPr>
          <w:p>
            <w:r/>
            <w:r>
              <w:rPr>
                <w:b/>
                <w:sz w:val="20"/>
              </w:rPr>
              <w:t>0</w:t>
            </w:r>
          </w:p>
        </w:tc>
        <w:tc>
          <w:tcPr>
            <w:tcW w:type="dxa" w:w="1296"/>
          </w:tcPr>
          <w:p>
            <w:r/>
            <w:r>
              <w:rPr>
                <w:b/>
                <w:sz w:val="20"/>
              </w:rPr>
              <w:t>+1</w:t>
            </w:r>
          </w:p>
        </w:tc>
        <w:tc>
          <w:tcPr>
            <w:tcW w:type="dxa" w:w="1296"/>
          </w:tcPr>
          <w:p>
            <w:r/>
            <w:r>
              <w:rPr>
                <w:b/>
                <w:sz w:val="20"/>
              </w:rPr>
              <w:t>+2</w:t>
            </w:r>
          </w:p>
        </w:tc>
      </w:tr>
      <w:tr>
        <w:tc>
          <w:tcPr>
            <w:tcW w:type="dxa" w:w="2016"/>
          </w:tcPr>
          <w:p>
            <w:r/>
            <w:r>
              <w:rPr>
                <w:sz w:val="19"/>
              </w:rPr>
              <w:t>Panelists</w:t>
            </w:r>
          </w:p>
        </w:tc>
        <w:tc>
          <w:tcPr>
            <w:tcW w:type="dxa" w:w="1296"/>
          </w:tcPr>
          <w:p>
            <w:r/>
            <w:r>
              <w:rPr>
                <w:sz w:val="19"/>
              </w:rPr>
              <w:t>0</w:t>
            </w:r>
          </w:p>
        </w:tc>
        <w:tc>
          <w:tcPr>
            <w:tcW w:type="dxa" w:w="1296"/>
          </w:tcPr>
          <w:p>
            <w:r/>
            <w:r>
              <w:rPr>
                <w:sz w:val="19"/>
              </w:rPr>
              <w:t>1</w:t>
            </w:r>
          </w:p>
        </w:tc>
        <w:tc>
          <w:tcPr>
            <w:tcW w:type="dxa" w:w="1296"/>
          </w:tcPr>
          <w:p>
            <w:r/>
            <w:r>
              <w:rPr>
                <w:sz w:val="19"/>
              </w:rPr>
              <w:t>3</w:t>
            </w:r>
          </w:p>
        </w:tc>
        <w:tc>
          <w:tcPr>
            <w:tcW w:type="dxa" w:w="1296"/>
          </w:tcPr>
          <w:p>
            <w:r/>
            <w:r>
              <w:rPr>
                <w:sz w:val="19"/>
              </w:rPr>
              <w:t>7</w:t>
            </w:r>
          </w:p>
        </w:tc>
        <w:tc>
          <w:tcPr>
            <w:tcW w:type="dxa" w:w="1296"/>
          </w:tcPr>
          <w:p>
            <w:r/>
            <w:r>
              <w:rPr>
                <w:sz w:val="19"/>
              </w:rPr>
              <w:t>4</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20"/>
              </w:rPr>
              <w:t>Statistic</w:t>
            </w:r>
          </w:p>
        </w:tc>
        <w:tc>
          <w:tcPr>
            <w:tcW w:type="dxa" w:w="2448"/>
          </w:tcPr>
          <w:p>
            <w:r/>
            <w:r>
              <w:rPr>
                <w:b/>
                <w:sz w:val="20"/>
              </w:rPr>
              <w:t>Value</w:t>
            </w:r>
          </w:p>
        </w:tc>
        <w:tc>
          <w:tcPr>
            <w:tcW w:type="dxa" w:w="4608"/>
          </w:tcPr>
          <w:p>
            <w:r/>
            <w:r>
              <w:rPr>
                <w:b/>
                <w:sz w:val="20"/>
              </w:rPr>
              <w:t>Reading</w:t>
            </w:r>
          </w:p>
        </w:tc>
      </w:tr>
      <w:tr>
        <w:tc>
          <w:tcPr>
            <w:tcW w:type="dxa" w:w="2448"/>
          </w:tcPr>
          <w:p>
            <w:r/>
            <w:r>
              <w:rPr>
                <w:sz w:val="19"/>
              </w:rPr>
              <w:t>Modal rating</w:t>
            </w:r>
          </w:p>
        </w:tc>
        <w:tc>
          <w:tcPr>
            <w:tcW w:type="dxa" w:w="2448"/>
          </w:tcPr>
          <w:p>
            <w:r/>
            <w:r>
              <w:rPr>
                <w:sz w:val="19"/>
              </w:rPr>
              <w:t>+1</w:t>
            </w:r>
          </w:p>
        </w:tc>
        <w:tc>
          <w:tcPr>
            <w:tcW w:type="dxa" w:w="4608"/>
          </w:tcPr>
          <w:p>
            <w:r/>
            <w:r>
              <w:rPr>
                <w:sz w:val="19"/>
              </w:rPr>
              <w:t>“Probably appropriate”</w:t>
            </w:r>
          </w:p>
        </w:tc>
      </w:tr>
      <w:tr>
        <w:tc>
          <w:tcPr>
            <w:tcW w:type="dxa" w:w="2448"/>
          </w:tcPr>
          <w:p>
            <w:r/>
            <w:r>
              <w:rPr>
                <w:sz w:val="19"/>
              </w:rPr>
              <w:t>Modal proportion</w:t>
            </w:r>
          </w:p>
        </w:tc>
        <w:tc>
          <w:tcPr>
            <w:tcW w:type="dxa" w:w="2448"/>
          </w:tcPr>
          <w:p>
            <w:r/>
            <w:r>
              <w:rPr>
                <w:sz w:val="19"/>
              </w:rPr>
              <w:t>0.47</w:t>
            </w:r>
          </w:p>
        </w:tc>
        <w:tc>
          <w:tcPr>
            <w:tcW w:type="dxa" w:w="4608"/>
          </w:tcPr>
          <w:p>
            <w:r/>
            <w:r>
              <w:rPr>
                <w:sz w:val="19"/>
              </w:rPr>
              <w:t>In the useful band (roughly 0.4–0.7)</w:t>
            </w:r>
          </w:p>
        </w:tc>
      </w:tr>
      <w:tr>
        <w:tc>
          <w:tcPr>
            <w:tcW w:type="dxa" w:w="2448"/>
          </w:tcPr>
          <w:p>
            <w:r/>
            <w:r>
              <w:rPr>
                <w:sz w:val="19"/>
              </w:rPr>
              <w:t>Mean / SD</w:t>
            </w:r>
          </w:p>
        </w:tc>
        <w:tc>
          <w:tcPr>
            <w:tcW w:type="dxa" w:w="2448"/>
          </w:tcPr>
          <w:p>
            <w:r/>
            <w:r>
              <w:rPr>
                <w:sz w:val="19"/>
              </w:rPr>
              <w:t>+0.93 / 0.85</w:t>
            </w:r>
          </w:p>
        </w:tc>
        <w:tc>
          <w:tcPr>
            <w:tcW w:type="dxa" w:w="4608"/>
          </w:tcPr>
          <w:p>
            <w:r/>
            <w:r>
              <w:rPr>
                <w:sz w:val="19"/>
              </w:rPr>
              <w:t>Leans appropriate, with real spread</w:t>
            </w:r>
          </w:p>
        </w:tc>
      </w:tr>
      <w:tr>
        <w:tc>
          <w:tcPr>
            <w:tcW w:type="dxa" w:w="2448"/>
          </w:tcPr>
          <w:p>
            <w:r/>
            <w:r>
              <w:rPr>
                <w:sz w:val="19"/>
              </w:rPr>
              <w:t>Shannon entropy</w:t>
            </w:r>
          </w:p>
        </w:tc>
        <w:tc>
          <w:tcPr>
            <w:tcW w:type="dxa" w:w="2448"/>
          </w:tcPr>
          <w:p>
            <w:r/>
            <w:r>
              <w:rPr>
                <w:sz w:val="19"/>
              </w:rPr>
              <w:t>1.75 of max 2.32</w:t>
            </w:r>
          </w:p>
        </w:tc>
        <w:tc>
          <w:tcPr>
            <w:tcW w:type="dxa" w:w="4608"/>
          </w:tcPr>
          <w:p>
            <w:r/>
            <w:r>
              <w:rPr>
                <w:sz w:val="19"/>
              </w:rPr>
              <w:t>Substantial disagreement, not noise</w:t>
            </w:r>
          </w:p>
        </w:tc>
      </w:tr>
      <w:tr>
        <w:tc>
          <w:tcPr>
            <w:tcW w:type="dxa" w:w="2448"/>
          </w:tcPr>
          <w:p>
            <w:r/>
            <w:r>
              <w:rPr>
                <w:sz w:val="19"/>
              </w:rPr>
              <w:t>Item-quality flag</w:t>
            </w:r>
          </w:p>
        </w:tc>
        <w:tc>
          <w:tcPr>
            <w:tcW w:type="dxa" w:w="2448"/>
          </w:tcPr>
          <w:p>
            <w:r/>
            <w:r>
              <w:rPr>
                <w:sz w:val="19"/>
              </w:rPr>
              <w:t>Good discrimination</w:t>
            </w:r>
          </w:p>
        </w:tc>
        <w:tc>
          <w:tcPr>
            <w:tcW w:type="dxa" w:w="4608"/>
          </w:tcPr>
          <w:p>
            <w:r/>
            <w:r>
              <w:rPr>
                <w:sz w:val="19"/>
              </w:rPr>
              <w:t>Keep</w:t>
            </w:r>
          </w:p>
        </w:tc>
      </w:tr>
    </w:tbl>
    <w:p/>
    <w:p>
      <w:r>
        <w:rPr>
          <w:b w:val="0"/>
          <w:i w:val="0"/>
        </w:rPr>
        <w:t>SCT-style credit vector, credit(k) = count(k) / count(mode): −2 → 0.00, −1 → 0.14, 0 → 0.43, +1 → 1.00, +2 → 0.57. A learner answering +1 earns full credit, 0 or +2 partial, −2 none.</w:t>
      </w:r>
    </w:p>
    <w:p>
      <w:pPr>
        <w:pStyle w:val="Heading2"/>
      </w:pPr>
      <w:r>
        <w:t>Item B — “ordering a complete blood count”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016"/>
          </w:tcPr>
          <w:p>
            <w:r/>
            <w:r>
              <w:rPr>
                <w:b/>
                <w:sz w:val="20"/>
              </w:rPr>
              <w:t>Rating</w:t>
            </w:r>
          </w:p>
        </w:tc>
        <w:tc>
          <w:tcPr>
            <w:tcW w:type="dxa" w:w="1296"/>
          </w:tcPr>
          <w:p>
            <w:r/>
            <w:r>
              <w:rPr>
                <w:b/>
                <w:sz w:val="20"/>
              </w:rPr>
              <w:t>−2</w:t>
            </w:r>
          </w:p>
        </w:tc>
        <w:tc>
          <w:tcPr>
            <w:tcW w:type="dxa" w:w="1296"/>
          </w:tcPr>
          <w:p>
            <w:r/>
            <w:r>
              <w:rPr>
                <w:b/>
                <w:sz w:val="20"/>
              </w:rPr>
              <w:t>−1</w:t>
            </w:r>
          </w:p>
        </w:tc>
        <w:tc>
          <w:tcPr>
            <w:tcW w:type="dxa" w:w="1296"/>
          </w:tcPr>
          <w:p>
            <w:r/>
            <w:r>
              <w:rPr>
                <w:b/>
                <w:sz w:val="20"/>
              </w:rPr>
              <w:t>0</w:t>
            </w:r>
          </w:p>
        </w:tc>
        <w:tc>
          <w:tcPr>
            <w:tcW w:type="dxa" w:w="1296"/>
          </w:tcPr>
          <w:p>
            <w:r/>
            <w:r>
              <w:rPr>
                <w:b/>
                <w:sz w:val="20"/>
              </w:rPr>
              <w:t>+1</w:t>
            </w:r>
          </w:p>
        </w:tc>
        <w:tc>
          <w:tcPr>
            <w:tcW w:type="dxa" w:w="1296"/>
          </w:tcPr>
          <w:p>
            <w:r/>
            <w:r>
              <w:rPr>
                <w:b/>
                <w:sz w:val="20"/>
              </w:rPr>
              <w:t>+2</w:t>
            </w:r>
          </w:p>
        </w:tc>
      </w:tr>
      <w:tr>
        <w:tc>
          <w:tcPr>
            <w:tcW w:type="dxa" w:w="2016"/>
          </w:tcPr>
          <w:p>
            <w:r/>
            <w:r>
              <w:rPr>
                <w:sz w:val="19"/>
              </w:rPr>
              <w:t>Panelists</w:t>
            </w:r>
          </w:p>
        </w:tc>
        <w:tc>
          <w:tcPr>
            <w:tcW w:type="dxa" w:w="1296"/>
          </w:tcPr>
          <w:p>
            <w:r/>
            <w:r>
              <w:rPr>
                <w:sz w:val="19"/>
              </w:rPr>
              <w:t>0</w:t>
            </w:r>
          </w:p>
        </w:tc>
        <w:tc>
          <w:tcPr>
            <w:tcW w:type="dxa" w:w="1296"/>
          </w:tcPr>
          <w:p>
            <w:r/>
            <w:r>
              <w:rPr>
                <w:sz w:val="19"/>
              </w:rPr>
              <w:t>0</w:t>
            </w:r>
          </w:p>
        </w:tc>
        <w:tc>
          <w:tcPr>
            <w:tcW w:type="dxa" w:w="1296"/>
          </w:tcPr>
          <w:p>
            <w:r/>
            <w:r>
              <w:rPr>
                <w:sz w:val="19"/>
              </w:rPr>
              <w:t>0</w:t>
            </w:r>
          </w:p>
        </w:tc>
        <w:tc>
          <w:tcPr>
            <w:tcW w:type="dxa" w:w="1296"/>
          </w:tcPr>
          <w:p>
            <w:r/>
            <w:r>
              <w:rPr>
                <w:sz w:val="19"/>
              </w:rPr>
              <w:t>2</w:t>
            </w:r>
          </w:p>
        </w:tc>
        <w:tc>
          <w:tcPr>
            <w:tcW w:type="dxa" w:w="1296"/>
          </w:tcPr>
          <w:p>
            <w:r/>
            <w:r>
              <w:rPr>
                <w:sz w:val="19"/>
              </w:rPr>
              <w:t>13</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
              <w:rPr>
                <w:b/>
                <w:sz w:val="20"/>
              </w:rPr>
              <w:t>Statistic</w:t>
            </w:r>
          </w:p>
        </w:tc>
        <w:tc>
          <w:tcPr>
            <w:tcW w:type="dxa" w:w="2448"/>
          </w:tcPr>
          <w:p>
            <w:r/>
            <w:r>
              <w:rPr>
                <w:b/>
                <w:sz w:val="20"/>
              </w:rPr>
              <w:t>Value</w:t>
            </w:r>
          </w:p>
        </w:tc>
        <w:tc>
          <w:tcPr>
            <w:tcW w:type="dxa" w:w="4608"/>
          </w:tcPr>
          <w:p>
            <w:r/>
            <w:r>
              <w:rPr>
                <w:b/>
                <w:sz w:val="20"/>
              </w:rPr>
              <w:t>Reading</w:t>
            </w:r>
          </w:p>
        </w:tc>
      </w:tr>
      <w:tr>
        <w:tc>
          <w:tcPr>
            <w:tcW w:type="dxa" w:w="2448"/>
          </w:tcPr>
          <w:p>
            <w:r/>
            <w:r>
              <w:rPr>
                <w:sz w:val="19"/>
              </w:rPr>
              <w:t>Modal rating</w:t>
            </w:r>
          </w:p>
        </w:tc>
        <w:tc>
          <w:tcPr>
            <w:tcW w:type="dxa" w:w="2448"/>
          </w:tcPr>
          <w:p>
            <w:r/>
            <w:r>
              <w:rPr>
                <w:sz w:val="19"/>
              </w:rPr>
              <w:t>+2</w:t>
            </w:r>
          </w:p>
        </w:tc>
        <w:tc>
          <w:tcPr>
            <w:tcW w:type="dxa" w:w="4608"/>
          </w:tcPr>
          <w:p>
            <w:r/>
            <w:r>
              <w:rPr>
                <w:sz w:val="19"/>
              </w:rPr>
              <w:t>“Clearly appropriate”</w:t>
            </w:r>
          </w:p>
        </w:tc>
      </w:tr>
      <w:tr>
        <w:tc>
          <w:tcPr>
            <w:tcW w:type="dxa" w:w="2448"/>
          </w:tcPr>
          <w:p>
            <w:r/>
            <w:r>
              <w:rPr>
                <w:sz w:val="19"/>
              </w:rPr>
              <w:t>Modal proportion</w:t>
            </w:r>
          </w:p>
        </w:tc>
        <w:tc>
          <w:tcPr>
            <w:tcW w:type="dxa" w:w="2448"/>
          </w:tcPr>
          <w:p>
            <w:r/>
            <w:r>
              <w:rPr>
                <w:sz w:val="19"/>
              </w:rPr>
              <w:t>0.87</w:t>
            </w:r>
          </w:p>
        </w:tc>
        <w:tc>
          <w:tcPr>
            <w:tcW w:type="dxa" w:w="4608"/>
          </w:tcPr>
          <w:p>
            <w:r/>
            <w:r>
              <w:rPr>
                <w:sz w:val="19"/>
              </w:rPr>
              <w:t>Above the 0.80 low-discrimination threshold</w:t>
            </w:r>
          </w:p>
        </w:tc>
      </w:tr>
      <w:tr>
        <w:tc>
          <w:tcPr>
            <w:tcW w:type="dxa" w:w="2448"/>
          </w:tcPr>
          <w:p>
            <w:r/>
            <w:r>
              <w:rPr>
                <w:sz w:val="19"/>
              </w:rPr>
              <w:t>Mean / SD</w:t>
            </w:r>
          </w:p>
        </w:tc>
        <w:tc>
          <w:tcPr>
            <w:tcW w:type="dxa" w:w="2448"/>
          </w:tcPr>
          <w:p>
            <w:r/>
            <w:r>
              <w:rPr>
                <w:sz w:val="19"/>
              </w:rPr>
              <w:t>+1.87 / 0.34</w:t>
            </w:r>
          </w:p>
        </w:tc>
        <w:tc>
          <w:tcPr>
            <w:tcW w:type="dxa" w:w="4608"/>
          </w:tcPr>
          <w:p>
            <w:r/>
            <w:r>
              <w:rPr>
                <w:sz w:val="19"/>
              </w:rPr>
              <w:t>Almost no spread</w:t>
            </w:r>
          </w:p>
        </w:tc>
      </w:tr>
      <w:tr>
        <w:tc>
          <w:tcPr>
            <w:tcW w:type="dxa" w:w="2448"/>
          </w:tcPr>
          <w:p>
            <w:r/>
            <w:r>
              <w:rPr>
                <w:sz w:val="19"/>
              </w:rPr>
              <w:t>Shannon entropy</w:t>
            </w:r>
          </w:p>
        </w:tc>
        <w:tc>
          <w:tcPr>
            <w:tcW w:type="dxa" w:w="2448"/>
          </w:tcPr>
          <w:p>
            <w:r/>
            <w:r>
              <w:rPr>
                <w:sz w:val="19"/>
              </w:rPr>
              <w:t>0.57 of max 2.32</w:t>
            </w:r>
          </w:p>
        </w:tc>
        <w:tc>
          <w:tcPr>
            <w:tcW w:type="dxa" w:w="4608"/>
          </w:tcPr>
          <w:p>
            <w:r/>
            <w:r>
              <w:rPr>
                <w:sz w:val="19"/>
              </w:rPr>
              <w:t>Near-unanimous</w:t>
            </w:r>
          </w:p>
        </w:tc>
      </w:tr>
      <w:tr>
        <w:tc>
          <w:tcPr>
            <w:tcW w:type="dxa" w:w="2448"/>
          </w:tcPr>
          <w:p>
            <w:r/>
            <w:r>
              <w:rPr>
                <w:sz w:val="19"/>
              </w:rPr>
              <w:t>Item-quality flag</w:t>
            </w:r>
          </w:p>
        </w:tc>
        <w:tc>
          <w:tcPr>
            <w:tcW w:type="dxa" w:w="2448"/>
          </w:tcPr>
          <w:p>
            <w:r/>
            <w:r>
              <w:rPr>
                <w:sz w:val="19"/>
              </w:rPr>
              <w:t>Low discrimination</w:t>
            </w:r>
          </w:p>
        </w:tc>
        <w:tc>
          <w:tcPr>
            <w:tcW w:type="dxa" w:w="4608"/>
          </w:tcPr>
          <w:p>
            <w:r/>
            <w:r>
              <w:rPr>
                <w:sz w:val="19"/>
              </w:rPr>
              <w:t>Replace before shipping</w:t>
            </w:r>
          </w:p>
        </w:tc>
      </w:tr>
    </w:tbl>
    <w:p/>
    <w:p>
      <w:r>
        <w:rPr>
          <w:b w:val="0"/>
          <w:i w:val="0"/>
        </w:rPr>
        <w:t>Item B is not wrong — a CBC probably is appropriate. It is simply uninformative: every learner will answer the same way, so it separates nobody and costs encounter time. The authoring interface surfaces this before the case ships, which is the practical reason the panel is worth running at authoring time rather than after data collection.</w:t>
      </w:r>
    </w:p>
    <w:p>
      <w:r>
        <w:rPr>
          <w:b/>
          <w:i w:val="0"/>
        </w:rPr>
        <w:t xml:space="preserve">Why this matters for the questions in Section 12. </w:t>
      </w:r>
      <w:r>
        <w:rPr>
          <w:b w:val="0"/>
          <w:i w:val="0"/>
        </w:rPr>
        <w:t>The panel roster determines the spread. A roster without the stewardship and risk-averse perspectives would push Item A toward Item B — tighter, more unanimous, and less able to distinguish a well-reasoned learner from a lucky one. That is the concrete stake in questions 2 and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354"/>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354"/>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35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