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Examen 3 - Pediatría (40%, 8/20)</w:t>
      </w:r>
    </w:p>
    <w:p>
      <w:r>
        <w:t>ENARM Master · ID wkvCdcsEpkSgnaXEq · Transcripción: pregunta, respuesta correcta y porqué (sin bibliografía).</w:t>
      </w:r>
    </w:p>
    <w:p>
      <w:pPr>
        <w:pStyle w:val="Heading2"/>
      </w:pPr>
      <w:r>
        <w:t>Caso</w:t>
      </w:r>
    </w:p>
    <w:p>
      <w:r>
        <w:t>Un lactante de 8 meses es llevado a consulta por irritabilidad y llanto persistente desde hace dos días. La madre refiere que el bebé rechaza el pecho y presenta fiebre de hasta 38.5°C. Durante la exploración física, se observa hiperemia de la membrana timpánica derecha con abombamiento evidente y disminución de la movilidad a la otoscopia neumática. Los ruidos respiratorios son normales y no hay erupciones cutáneas.</w:t>
      </w:r>
    </w:p>
    <w:p>
      <w:pPr>
        <w:pStyle w:val="Heading3"/>
      </w:pPr>
      <w:r>
        <w:t>1. ¿Cuál es el hallazgo clínico más sugestivo de otitis media aguda en este caso?</w:t>
      </w:r>
    </w:p>
    <w:p>
      <w:r>
        <w:rPr>
          <w:b/>
        </w:rPr>
        <w:t xml:space="preserve">Respuesta correcta: </w:t>
      </w:r>
      <w:r>
        <w:t>Abombamiento de la membrana timpánica</w:t>
      </w:r>
    </w:p>
    <w:p>
      <w:r>
        <w:rPr>
          <w:b/>
        </w:rPr>
        <w:t xml:space="preserve">Porqué: </w:t>
      </w:r>
      <w:r>
        <w:t>El abombamiento de la membrana timpánica es uno de los hallazgos clínicos clave para el diagnóstico de otitis media aguda según los criterios establecidos​</w:t>
      </w:r>
    </w:p>
    <w:p>
      <w:pPr>
        <w:pStyle w:val="Heading3"/>
      </w:pPr>
      <w:r>
        <w:t>2. ¿Qué factor de riesgo no modificable está presente?</w:t>
      </w:r>
    </w:p>
    <w:p>
      <w:r>
        <w:rPr>
          <w:b/>
        </w:rPr>
        <w:t xml:space="preserve">Respuesta correcta: </w:t>
      </w:r>
      <w:r>
        <w:t>Edad menor a un año</w:t>
      </w:r>
    </w:p>
    <w:p>
      <w:r>
        <w:rPr>
          <w:b/>
        </w:rPr>
        <w:t xml:space="preserve">Porqué: </w:t>
      </w:r>
      <w:r>
        <w:t>La edad menor de un año es un factor de riesgo no modificable para la otitis media aguda debido a la inmadurez funcional de la trompa de Eustaquio en los lactantes</w:t>
      </w:r>
    </w:p>
    <w:p>
      <w:pPr>
        <w:pStyle w:val="Heading3"/>
      </w:pPr>
      <w:r>
        <w:t>3. ¿Qué medida de manejo inicial sería la más adecuada?</w:t>
      </w:r>
    </w:p>
    <w:p>
      <w:r>
        <w:rPr>
          <w:b/>
        </w:rPr>
        <w:t xml:space="preserve">Respuesta correcta: </w:t>
      </w:r>
      <w:r>
        <w:t>Iniciar antibiótico oral con amoxicilina</w:t>
      </w:r>
    </w:p>
    <w:p>
      <w:r>
        <w:rPr>
          <w:b/>
        </w:rPr>
        <w:t xml:space="preserve">Porqué: </w:t>
      </w:r>
      <w:r>
        <w:t>El tratamiento adecuado es el inicio de amoxicilina a dosis altas (80-90 mg/kg/día).</w:t>
      </w:r>
    </w:p>
    <w:p>
      <w:pPr>
        <w:pStyle w:val="Heading2"/>
      </w:pPr>
      <w:r>
        <w:t>Caso</w:t>
      </w:r>
    </w:p>
    <w:p>
      <w:r>
        <w:t>Lactante masculino de 8 meses, es llevado a consulta por iniciar cuadro hace una semana con evacuaciones aumentadas en frecuencia y disminuidas en consistencia hasta 5 ocasiones al dia. Hoy presenta súbitamente cuadro de irritabilidad manifestada por llanto e hiporexia. Presenta una evacuación sanguinolenta, así como dos vómitos de contenido alimentario. Ante el antecedente de sexo masculino y ser primogenito usted sospecha estenosis de píloro.</w:t>
      </w:r>
    </w:p>
    <w:p>
      <w:pPr>
        <w:pStyle w:val="Heading3"/>
      </w:pPr>
      <w:r>
        <w:t>4. Para apoyar su diagnóstico en la exploración física se deberá encontrar:</w:t>
      </w:r>
    </w:p>
    <w:p>
      <w:r>
        <w:rPr>
          <w:b/>
        </w:rPr>
        <w:t xml:space="preserve">Respuesta correcta: </w:t>
      </w:r>
      <w:r>
        <w:t>Masa abdominal palpable, móvil</w:t>
      </w:r>
    </w:p>
    <w:p>
      <w:r>
        <w:rPr>
          <w:b/>
        </w:rPr>
        <w:t xml:space="preserve">Porqué: </w:t>
      </w:r>
      <w:r>
        <w:t>Se deberá realizar al lactante con sospecha de estenosis hipertrófica de píloro exploración física completa, buscando intencionadamente la “oliva pilórica”.</w:t>
      </w:r>
    </w:p>
    <w:p>
      <w:pPr>
        <w:pStyle w:val="Heading2"/>
      </w:pPr>
      <w:r>
        <w:t>Caso</w:t>
      </w:r>
    </w:p>
    <w:p>
      <w:r>
        <w:t>Producto de madre de 38 años, obtenido a las 36 semanas de gestación por medio de cesárea, debida a retraso en el crecimiento intrauterino y falta de progresión del trabajo de parto. Al nacer tuvo Apgar 5/8. El segundo día de nacido presenta temblor, espasmos y aumento del tono muscular.</w:t>
      </w:r>
    </w:p>
    <w:p>
      <w:pPr>
        <w:pStyle w:val="Heading3"/>
      </w:pPr>
      <w:r>
        <w:t>5. ¿Cuál de las siguientes entidades clínicas es más probable?</w:t>
      </w:r>
    </w:p>
    <w:p>
      <w:r>
        <w:rPr>
          <w:b/>
        </w:rPr>
        <w:t xml:space="preserve">Respuesta correcta: </w:t>
      </w:r>
      <w:r>
        <w:t>Hipocalcemia</w:t>
      </w:r>
    </w:p>
    <w:p>
      <w:r>
        <w:rPr>
          <w:b/>
        </w:rPr>
        <w:t xml:space="preserve">Porqué: </w:t>
      </w:r>
      <w:r>
        <w:t>De manera fisiológica existe un descenso de la calcemia tras el nacimiento, dando lugar en ocasiones a síntomas inespecíficos (tremulaciones, irritabilidad, mioclonías, convulsiones, etc.) que ceden tras el aporte de calcio. Se divide en 2 grandes grupos, desde el punto de vista etiológico: - Precoz (&lt;3 días de vida). Debida a causas maternas (diabetes, hiperparatiroidismo, toxemia), asfixia intraparto, patología del recién nacido (pretérmino, bajo peso, hipoxia, choque, sepsis), síndrome de Di George (ausencia congénita de paratiroides), citrato en sangre, etc. -Tardía (&gt;3 días de vida). La causa más frecuente es la dieta rica en fosfatos. Otras causas son: hipomagnesemia (hijos de madre diabética), déficit vitamina D, malabsorción intestinal, hipoparatiroidismo primario.</w:t>
      </w:r>
    </w:p>
    <w:p>
      <w:pPr>
        <w:pStyle w:val="Heading3"/>
      </w:pPr>
      <w:r>
        <w:t>6. ¿A partir de qué valores se presenta esta entidad?</w:t>
      </w:r>
    </w:p>
    <w:p>
      <w:r>
        <w:rPr>
          <w:b/>
        </w:rPr>
        <w:t xml:space="preserve">Respuesta correcta: </w:t>
      </w:r>
      <w:r>
        <w:t>Calcio sérico &lt;7 mg/dl o calcio ionizado &lt;3 mg/dl.</w:t>
      </w:r>
    </w:p>
    <w:p>
      <w:r>
        <w:rPr>
          <w:b/>
        </w:rPr>
        <w:t xml:space="preserve">Porqué: </w:t>
      </w:r>
      <w:r>
        <w:t>La hipocalcemia se presenta con valores de calcio sérico &lt;7 mg/dl o calcio ionizado &lt;3 mg/dl.</w:t>
      </w:r>
    </w:p>
    <w:p>
      <w:pPr>
        <w:pStyle w:val="Heading2"/>
      </w:pPr>
      <w:r>
        <w:t>Caso</w:t>
      </w:r>
    </w:p>
    <w:p>
      <w:r>
        <w:t>Es traído al servicio de urgencias, paciente femenino de 4 años de edad, por presentar fiebre de 12 horas de evolución, la cual no remite con medios físicos ni medicamentos. La madre refiere que acaban de regresar de un viaje de Guatemala, en donde estuvieron en varios lagos y selvas. En la exploración física, la paciente se encuentra somnolienta, plétora facial, pupilas simétricas, reactivas a la luz, cuello sin presencia de adenomegalias. A nivel cardiopulmonar se ausculta soplo S3 y galope. Abdomen globoso a expensas de dilatación colónica, se palpa hepatomegalia dolorosa. Se solicita biome</w:t>
      </w:r>
    </w:p>
    <w:p>
      <w:pPr>
        <w:pStyle w:val="Heading3"/>
      </w:pPr>
      <w:r>
        <w:t>7. ¿Cuál es la causa más común de fiebre sin datos de focalización en pediatría?</w:t>
      </w:r>
    </w:p>
    <w:p>
      <w:r>
        <w:rPr>
          <w:b/>
        </w:rPr>
        <w:t xml:space="preserve">Respuesta correcta: </w:t>
      </w:r>
      <w:r>
        <w:t>Infección de vías urinarias</w:t>
      </w:r>
    </w:p>
    <w:p>
      <w:r>
        <w:rPr>
          <w:b/>
        </w:rPr>
        <w:t xml:space="preserve">Porqué: </w:t>
      </w:r>
      <w:r>
        <w:t>Por consenso, se define fiebre sin signos de focalización, aquella sin origen aparente posterior a la historia clínica y examen físico completos, usualmente &lt; 7 días. Se debe reconocer que el niño con fiebre, sin datos de focalización puede cursar con infección bacteriana grave. En los niños con fiebre, el objetivo es identificar la presencia de signos y síntomas, para predecir el riesgo de enfermedad grave, basados en el sistema de luces de semáforo, lo que permite conocer las categorías clínicas. Las principales causas de fiebre en los niños menores de 5 años son: infecciones de vías urinarias (217 / 1000), neumonía (111 / 1000), bacteriemia (105 /1000), meningitis (23 / 1000).</w:t>
      </w:r>
    </w:p>
    <w:p>
      <w:pPr>
        <w:pStyle w:val="Heading3"/>
      </w:pPr>
      <w:r>
        <w:t>8. ¿A partir de qué conteo de neutrófilos se cataloga al paciente como riesgo alto?</w:t>
      </w:r>
    </w:p>
    <w:p>
      <w:r>
        <w:rPr>
          <w:b/>
        </w:rPr>
        <w:t xml:space="preserve">Respuesta correcta: </w:t>
      </w:r>
      <w:r>
        <w:t>9,500/ml</w:t>
      </w:r>
    </w:p>
    <w:p>
      <w:r>
        <w:rPr>
          <w:b/>
        </w:rPr>
        <w:t xml:space="preserve">Porqué: </w:t>
      </w:r>
      <w:r>
        <w:t>En los grupos de niños con categoría de riesgo alto e intermedio, la biometría hemática ha demostrado utilidad en el diagnóstico de infección bacteriana grave en niños con fiebre sin causa aparente, en especial con un nivel de corte de leucocitos y neutrófilos &gt; 15,000 y de 9,500 respectivamente. No existe una indicación absoluta para realizar biometría hemática, sin embargo, en los niños con categoría de alto riesgo, puede ser útil para identificar el valor de corte de leucocitos y neutrófilos que auxilien el diagnóstico de infección bacteriana grave.</w:t>
      </w:r>
    </w:p>
    <w:p>
      <w:pPr>
        <w:pStyle w:val="Heading2"/>
      </w:pPr>
      <w:r>
        <w:t>Caso</w:t>
      </w:r>
    </w:p>
    <w:p>
      <w:r>
        <w:t>Masculino de 6 años de edad, es traído por su madre por presentar estreñimiento de 6 meses de evolución. APP y AHF negados. Al interrogatorio la madre refiere que ha presentada alteraciones en la frecuencia evacuatoria y se ha presentado con fuga fecal. Presenta una masa grande y dura en la exploración abdominal, al tacto rectal se encuentra dilatado y ocupado por materia fecal. SV: TA 110/60 mmHg, FC 72 lpm, FR 12 rpm, temperatura 36.7 ºC.</w:t>
      </w:r>
    </w:p>
    <w:p>
      <w:pPr>
        <w:pStyle w:val="Heading3"/>
      </w:pPr>
      <w:r>
        <w:t>9. ¿Cual es el diagnóstico clínico de este paciente?</w:t>
      </w:r>
    </w:p>
    <w:p>
      <w:r>
        <w:rPr>
          <w:b/>
        </w:rPr>
        <w:t xml:space="preserve">Respuesta correcta: </w:t>
      </w:r>
      <w:r>
        <w:t>Impactación fecal</w:t>
      </w:r>
    </w:p>
    <w:p>
      <w:r>
        <w:rPr>
          <w:b/>
        </w:rPr>
        <w:t xml:space="preserve">Porqué: </w:t>
      </w:r>
      <w:r>
        <w:t>En un paciente con estreñimiento se deberá investigar e identificar la impactación fecal la cual se define como la presencia de una masa fecal grande y dura durante la exploración física del abdomen, recto dilatado y ocupado con materia fecal a la exploración rectal y excesiva cantidad de heces en colon en una radiografía simple de abdomen.</w:t>
      </w:r>
    </w:p>
    <w:p>
      <w:pPr>
        <w:pStyle w:val="Heading3"/>
      </w:pPr>
      <w:r>
        <w:t>10. ¿Cuál es el tratamiento indicado en este momento?</w:t>
      </w:r>
    </w:p>
    <w:p>
      <w:r>
        <w:rPr>
          <w:b/>
        </w:rPr>
        <w:t xml:space="preserve">Respuesta correcta: </w:t>
      </w:r>
      <w:r>
        <w:t>Polietilenglicol</w:t>
      </w:r>
    </w:p>
    <w:p>
      <w:r>
        <w:rPr>
          <w:b/>
        </w:rPr>
        <w:t xml:space="preserve">Porqué: </w:t>
      </w:r>
      <w:r>
        <w:t>En pacientes con estreñimiento y manifestaciones de ampactación fecal sin datos se alarma se debe iniciar tratamiento de primera línea con polietilenglicol 3,350 (PEG 3350) con o sin electrolitos, en régimen de dosis creciente gradual: iniciar 1-1.5 g/kg por 3-6 días.</w:t>
      </w:r>
    </w:p>
    <w:p>
      <w:pPr>
        <w:pStyle w:val="Heading3"/>
      </w:pPr>
      <w:r>
        <w:t>11. ¿Cuál es el tratamiento de elección de mantenimiento?</w:t>
      </w:r>
    </w:p>
    <w:p>
      <w:r>
        <w:rPr>
          <w:b/>
        </w:rPr>
        <w:t xml:space="preserve">Respuesta correcta: </w:t>
      </w:r>
      <w:r>
        <w:t>Polietilenglicol</w:t>
      </w:r>
    </w:p>
    <w:p>
      <w:r>
        <w:rPr>
          <w:b/>
        </w:rPr>
        <w:t xml:space="preserve">Porqué: </w:t>
      </w:r>
      <w:r>
        <w:t>Una vez resuelta la impactación fecal el tratamiento se enfoca en prevenir la recurrencia, el cual incluye manejo farmacológico, dietético y modificación de hábitos. Se recomienda el uso de PEG 3350 con electrolitos, VO por más de 7 días para la fase de mantenimiento funcional. En caso de no contar con PEG se recomienda de primera línea el uso de lactulosa.</w:t>
      </w:r>
    </w:p>
    <w:p>
      <w:pPr>
        <w:pStyle w:val="Heading2"/>
      </w:pPr>
      <w:r>
        <w:t>Caso</w:t>
      </w:r>
    </w:p>
    <w:p>
      <w:r>
        <w:t>Se presenta a consulta paciente masculino de 13 años de edad el cual es traído por su madre por presentar fiebre, cefalea, artralgias y fatiga generalizada. El menor comenta el antecedente de haber sido picado por una garrapata y posterior a eso formarse una lesión circular no dolorosa en el sitio de la picadura. A la exploración física usted encuentra lesión única eritematosa, circular no dolorosa en el sitio de la mordedura de la garrapata, con diseminación centrifuga. Además de lesiones maculares en extremidades superiores, tronco y pliegues del menor. Por lo cual usted sospecha de la enfer</w:t>
      </w:r>
    </w:p>
    <w:p>
      <w:pPr>
        <w:pStyle w:val="Heading3"/>
      </w:pPr>
      <w:r>
        <w:t>12. Con respecto a la enfermedad de Lyme ¿Cuál de estos NO es un estadio propio de la enfermedad?</w:t>
      </w:r>
    </w:p>
    <w:p>
      <w:r>
        <w:rPr>
          <w:b/>
        </w:rPr>
        <w:t xml:space="preserve">Respuesta correcta: </w:t>
      </w:r>
      <w:r>
        <w:t>Estadio intermitente</w:t>
      </w:r>
    </w:p>
    <w:p>
      <w:r>
        <w:rPr>
          <w:b/>
        </w:rPr>
        <w:t xml:space="preserve">Porqué: </w:t>
      </w:r>
      <w:r>
        <w:t>La enfermedad de lyme se divide en estadio temprano localizado, temprano diseminado y infección tardía persistente</w:t>
      </w:r>
    </w:p>
    <w:p>
      <w:pPr>
        <w:pStyle w:val="Heading3"/>
      </w:pPr>
      <w:r>
        <w:t>13. ¿Cuál de las siguientes afirmaciones NO es verdadera con respecto a la enfermedad de lyme?</w:t>
      </w:r>
    </w:p>
    <w:p>
      <w:r>
        <w:rPr>
          <w:b/>
        </w:rPr>
        <w:t xml:space="preserve">Respuesta correcta: </w:t>
      </w:r>
      <w:r>
        <w:t>En el estadio temprano diseminado se encuentra el eritema migratorio que se presenta en el 60-80% de los casos.</w:t>
      </w:r>
    </w:p>
    <w:p>
      <w:r>
        <w:rPr>
          <w:b/>
        </w:rPr>
        <w:t xml:space="preserve">Porqué: </w:t>
      </w:r>
      <w:r>
        <w:t>El eritema migratorio se encuentra en el estadio temprano localizado (no diseminado), el cual se presenta en el 60-80% de los casos como signo inicial.</w:t>
      </w:r>
    </w:p>
    <w:p>
      <w:pPr>
        <w:pStyle w:val="Heading2"/>
      </w:pPr>
      <w:r>
        <w:t>Caso</w:t>
      </w:r>
    </w:p>
    <w:p>
      <w:r>
        <w:t xml:space="preserve">A 15-day-old boy is brought to the emergency department for evaluation of generalized tonic-clonic seizures. The parents note recurrent upper and lower extremity muscle spasms. He has had no fever, cough, or runny nose or other signs of infection so far. The patient was born full term via an uncomplicated pregnancy, from a 25 year old mother G2P2 and normal vaginal delivery. Family history is unremarkable. Physical examination demonstrates a neonate with rhythmic jerking movements of the upper and lower of extremities bilaterally. The anterior fontanelle is open, pupils are reactive to light, </w:t>
      </w:r>
    </w:p>
    <w:p>
      <w:pPr>
        <w:pStyle w:val="Heading3"/>
      </w:pPr>
      <w:r>
        <w:t>14. Wich genetic anomally is most likely present on this neonate?</w:t>
      </w:r>
    </w:p>
    <w:p>
      <w:r>
        <w:rPr>
          <w:b/>
        </w:rPr>
        <w:t xml:space="preserve">Respuesta correcta: </w:t>
      </w:r>
      <w:r>
        <w:t>del22q.11.2</w:t>
      </w:r>
    </w:p>
    <w:p>
      <w:r>
        <w:rPr>
          <w:b/>
        </w:rPr>
        <w:t xml:space="preserve">Porqué: </w:t>
      </w:r>
      <w:r>
        <w:t>El paciente presenta muchos de los datos clínicos del síndrome de DiGeorge, también conocido como deleción 22q.11.2, lo que quiere decir que ocurre en el cromosoma 22, brazo largo, banda 11, región 2.</w:t>
      </w:r>
    </w:p>
    <w:p>
      <w:pPr>
        <w:pStyle w:val="Heading3"/>
      </w:pPr>
      <w:r>
        <w:t>15. Which of the following immunologic derrangements is most likely to be observed in this patient?</w:t>
      </w:r>
    </w:p>
    <w:p>
      <w:r>
        <w:rPr>
          <w:b/>
        </w:rPr>
        <w:t xml:space="preserve">Respuesta correcta: </w:t>
      </w:r>
      <w:r>
        <w:t>T-cell dysfunction</w:t>
      </w:r>
    </w:p>
    <w:p>
      <w:r>
        <w:rPr>
          <w:b/>
        </w:rPr>
        <w:t xml:space="preserve">Porqué: </w:t>
      </w:r>
      <w:r>
        <w:t>La presentación de este neonato con convulsiones tónico-clónicas generalizadas, facies anormales, espasmos musculares y un soplo cardíaco con ausencia de la sombra del timo en la radiografía de tórax es sugestiva de síndrome de DiGeorge (SDG). El SDG resulta de una microdeleción en el cromosoma 22q11.2. Esta región alberga el gen TBX1, que codifica el desarrollo normal de las bolsas faríngeas 3 y 4. Normalmente, la tercera bolsa faríngea se desarrolla en el timo y la glándula paratiroidea inferior, mientras que la cuarta bolsa se desarrolla en las glándulas paratiroidea superiores. Los linfocitos T se producen en la médula ósea pero maduran en el timo, y en pacientes con hipoplasia tímica, los linfocitos T no maduran, lo que resulta en un sistema inmunológico gravemente comprometido. La glándula paratiroidea secreta la hormona paratiroidea para aumentar el nivel de iones de calcio en la sangre a través de la reabsorción renal. Así, la hipoplasia de la paratiroides se manifiesta con hipocalcemia, un conocido desencadenante de convulsiones y tetania. Además, los pacientes con SDG suelen tener defectos cardíacos congénitos (por ejemplo, truncus arteriosus y tetralogía de Fallot), anomalías faciales (paladar hendido) y una fisonomía característica (hipertelorismo orbital, fisuras palpebrales cortas, filtrum corto y úvula bífida). Estos pacientes también tienen tasas más altas de esquizofrenia y otras patologías neuropsiquiátricas</w:t>
      </w:r>
    </w:p>
    <w:p>
      <w:pPr>
        <w:pStyle w:val="Heading2"/>
      </w:pPr>
      <w:r>
        <w:t>Caso</w:t>
      </w:r>
    </w:p>
    <w:p>
      <w:r>
        <w:t>Recién nacido femenino, hijo de madre diabética, obtenido por vía abdominal a las 34 semanas de gestación secundario a ruptura prematura de membranas de 72 horas de evolución, no se aplicó esquema de maduración pulmonar. Al nacimiento Silverman Anderson a los 10 minutos de 4 puntos, APGAR al minuto de 6 y a los 5 minutos de 8 puntos. Saturación de oxígeno medida a los 10 minutos de 78%. Gasometría arterial con acidosis metabólica.</w:t>
      </w:r>
    </w:p>
    <w:p>
      <w:pPr>
        <w:pStyle w:val="Heading3"/>
      </w:pPr>
      <w:r>
        <w:t>16. ¿Cuál es la prevalencia de esta enfermedad en recién nacidos de 30 semanas de gestación?</w:t>
      </w:r>
    </w:p>
    <w:p>
      <w:r>
        <w:rPr>
          <w:b/>
        </w:rPr>
        <w:t xml:space="preserve">Respuesta correcta: </w:t>
      </w:r>
      <w:r>
        <w:t>50%</w:t>
      </w:r>
    </w:p>
    <w:p>
      <w:r>
        <w:rPr>
          <w:b/>
        </w:rPr>
        <w:t xml:space="preserve">Porqué: </w:t>
      </w:r>
      <w:r>
        <w:t>En el Síndrome de Dificultad Respiratoria a menor edad gestacional y menor peso al nacer mayor es la probabilidad que se presente el SDR. Se ha estimado que el SDR se presenta en el 90% de los recién nacidos menores de 28 semanas de edad gestacional, 50-60 % de los menores de 30 SEG, del 15-20% entre las 32-36 SEG y en el 5% en mayores de 37 SEG</w:t>
      </w:r>
    </w:p>
    <w:p>
      <w:pPr>
        <w:pStyle w:val="Heading3"/>
      </w:pPr>
      <w:r>
        <w:t>17. ¿Cuál es el esquema indicado para la maduración pulmonar?</w:t>
      </w:r>
    </w:p>
    <w:p>
      <w:r>
        <w:rPr>
          <w:b/>
        </w:rPr>
        <w:t xml:space="preserve">Respuesta correcta: </w:t>
      </w:r>
      <w:r>
        <w:t>Betametasona 2 dosis 12 mg cada 24 o cada 12 horas</w:t>
      </w:r>
    </w:p>
    <w:p>
      <w:r>
        <w:rPr>
          <w:b/>
        </w:rPr>
        <w:t xml:space="preserve">Porqué: </w:t>
      </w:r>
      <w:r>
        <w:t>Los esteroides son los medicamentos de elección para maduración pulmonar, preferentemente se utilizan entre la semana 24 a 34. Reducen en un 34% la prevalencia de SDR. Los esquemas utilizados incluyen: -Betametasona 12 mg 2 dosis cada 12 o cada 24 horas -Dexametasona 6 mg 4 dosis cada 12 horas</w:t>
      </w:r>
    </w:p>
    <w:p>
      <w:pPr>
        <w:pStyle w:val="Heading3"/>
      </w:pPr>
      <w:r>
        <w:t>18. ¿Cuál es el primer dato que evalúa la escala de Silverman Anderson?</w:t>
      </w:r>
    </w:p>
    <w:p>
      <w:r>
        <w:rPr>
          <w:b/>
        </w:rPr>
        <w:t xml:space="preserve">Respuesta correcta: </w:t>
      </w:r>
      <w:r>
        <w:t>Aleteo nasal</w:t>
      </w:r>
    </w:p>
    <w:p>
      <w:r>
        <w:rPr>
          <w:b/>
        </w:rPr>
        <w:t xml:space="preserve">Porqué: </w:t>
      </w:r>
      <w:r>
        <w:t>La escala Silverman Anderson valora la dificultad respiratoria en el recién nacido, se debe realizar a los 10 minutos de vida. Los parámetros son: Aleteo nasal, Quejido espiratorio, retracción xifoidea, tiraje intercostal y disociación toracoabdominal.</w:t>
      </w:r>
    </w:p>
    <w:p>
      <w:pPr>
        <w:pStyle w:val="Heading2"/>
      </w:pPr>
      <w:r>
        <w:t>Caso</w:t>
      </w:r>
    </w:p>
    <w:p>
      <w:r>
        <w:t>Es traído a tu consulta un paciente masculino de 5 meses de edad. Como antecedentes de importancia: es producto vivo único obtenido por parto vaginal a las 38.4 SDG, peso 2.800 gramos, talla 50 cm, Apgar 8/9. Se egresó binomio a casa posterior a las 24 horas del nacimiento. La madre del niño refiere que inició padecimiento actual hace 2 meses con rinorrea unilateral posicional que aumenta al inclinar la cabeza asociada a obstrucción nasal parcial intermitente. El paciente fue tratado varias veces con el diagnóstico de "bronquitis aguda" con corticosteroides inhalados, presentado escasa mejoría</w:t>
      </w:r>
    </w:p>
    <w:p>
      <w:pPr>
        <w:pStyle w:val="Heading3"/>
      </w:pPr>
      <w:r>
        <w:t>19. ¿Cuál es tu diagnóstico más probable?</w:t>
      </w:r>
    </w:p>
    <w:p>
      <w:r>
        <w:rPr>
          <w:b/>
        </w:rPr>
        <w:t xml:space="preserve">Respuesta correcta: </w:t>
      </w:r>
      <w:r>
        <w:t>Atresia de coanas</w:t>
      </w:r>
    </w:p>
    <w:p>
      <w:r>
        <w:rPr>
          <w:b/>
        </w:rPr>
        <w:t xml:space="preserve">Porqué: </w:t>
      </w:r>
      <w:r>
        <w:t>La atresia de coanas se caracteriza por la obliteración de la apertura nasal posterior, producto de la imperforación de la membrana buconasal y del crecimiento excesivo de las apófisis horizontal y vertical del hueso palatino, terminando en una falta del desarrollo de la comunicación entre la cavidad nasal y la nasofaringe.  Dentro de las manifestaciones clínicas de esta patología, podemos encontrarnos con síntomas que dependen de su uni o bilateralidad. En los casos de atresia unilateral (la más frecuente en 55%) los síntomas son rinorrea unilateral posicional que aumenta al inclinar la cabeza asociada a obstrucción nasal parcial intermitente que rara vez causa dificultad respiratoria. Es por este tipo de clínica, que gran porcentaje de los pacientes llegan a la vida adulta desconociendo su malformación y generalmente no requieren intervención quirúrgica inmediata. No tenemos datos de síndrome de respuesta inflamatoria sistémica para pensar en neumonía viral, la exploración física no integra un síndrome pleuropulmonar, signos vitales dentro de parámetros normales. El CRUP viral se caracteriza por la tríada de tos metálica, disnea y disfonía.</w:t>
      </w:r>
    </w:p>
    <w:p>
      <w:pPr>
        <w:pStyle w:val="Heading3"/>
      </w:pPr>
      <w:r>
        <w:t>20. ¿Cuál es el tratamiento de elección en atresia de coanas bilateral?</w:t>
      </w:r>
    </w:p>
    <w:p>
      <w:r>
        <w:rPr>
          <w:b/>
        </w:rPr>
        <w:t xml:space="preserve">Respuesta correcta: </w:t>
      </w:r>
      <w:r>
        <w:t>Todas las anteriores</w:t>
      </w:r>
    </w:p>
    <w:p>
      <w:r>
        <w:rPr>
          <w:b/>
        </w:rPr>
        <w:t xml:space="preserve">Porqué: </w:t>
      </w:r>
      <w:r>
        <w:t>La atresia de coanas bilateral (45%) constituye una urgencia neonatal caracterizada por distress respiratorio de tipo inspiratorio, cianosis cíclica (alivia con el llanto), dificultad alimentación, bradicardia e incluso muerte por asfixia. Estos casos requieren estabilización inmediata de la vía aérea con el uso de chupete de Mc Govern, intubación o traqueostomía y luego resolución quirúrgica definitiva precoz. En el caso de la atresia de coanas unilateral, no cursa con dificultad respiratoria y se puede programar la cirugía a corto o mediano plazo.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ENARM Master — registro personal de estudio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rpoDoc">
    <w:name w:val="CuerpoDoc"/>
    <w:basedOn w:val="Normal"/>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