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Examen 9 - Mixto (33.3%, 10/30)</w:t>
      </w:r>
    </w:p>
    <w:p>
      <w:r>
        <w:t>ENARM Master · ID 9QkK2AJEwvTdcMNLk · Transcripción: pregunta, respuesta correcta y porqué (sin bibliografía).</w:t>
      </w:r>
    </w:p>
    <w:p>
      <w:pPr>
        <w:pStyle w:val="Heading2"/>
      </w:pPr>
      <w:r>
        <w:t>Caso</w:t>
      </w:r>
    </w:p>
    <w:p>
      <w:r>
        <w:t>Masculino de 87 años de edad, no se conoce diabético o hipertenso, índice tabáquico de 40 puntos, tosedor crónico sin protocolo de estudio. Se encuentra actualmente a cargo servicio de cardiología posterior intervención coronaria percutánea secundaria a infarto agudo al miocardio de la cara lateral del corazón, hemodinámicamente estable, saturando adecuadamente con apoyo ventilatorio no invasivo, datos radiográficos de edema agudo de pulmón. Inicia por la noche con un discurso incoherente, palabras ofensivas y atípicas para él, alucinaciones, gran agitación, inquietud, y agresivo con los equip</w:t>
      </w:r>
    </w:p>
    <w:p>
      <w:pPr>
        <w:pStyle w:val="Heading3"/>
      </w:pPr>
      <w:r>
        <w:t>1. ¿Cuál de las siguientes acciones mejoraría el estado de este paciente?</w:t>
      </w:r>
    </w:p>
    <w:p>
      <w:r>
        <w:rPr>
          <w:b/>
        </w:rPr>
        <w:t xml:space="preserve">Respuesta correcta: </w:t>
      </w:r>
      <w:r>
        <w:t>Administrar antipsicótico típico</w:t>
      </w:r>
    </w:p>
    <w:p>
      <w:r>
        <w:rPr>
          <w:b/>
        </w:rPr>
        <w:t xml:space="preserve">Porqué: </w:t>
      </w:r>
      <w:r>
        <w:t>El tratamiento farmacológico del delirium debe reservarse para pacientes en las siguientes circunstancias: agitación o agresividad que amenacen o pongan en riesgo la integridad física del mismo paciente, otros pacientes o del equipo de salud; y/o agitación severa que ponga en peligro la aplicación o mantenimiento de terapias esenciales (p ej. asistencia mecánica ventilatoria invasiva/no invasiva, marcapasos, balón de contrapulsación aórtico, etc.). Se recomienda utilizar haloperidol (antipsicótico típico) en el adulto mayor hospitalizado con delirium.</w:t>
      </w:r>
    </w:p>
    <w:p>
      <w:pPr>
        <w:pStyle w:val="Heading3"/>
      </w:pPr>
      <w:r>
        <w:t>2. ¿Qué fármaco es de elección en este caso según la guía de práctica clínica mexicana?</w:t>
      </w:r>
    </w:p>
    <w:p>
      <w:r>
        <w:rPr>
          <w:b/>
        </w:rPr>
        <w:t xml:space="preserve">Respuesta correcta: </w:t>
      </w:r>
      <w:r>
        <w:t>Haloperidol</w:t>
      </w:r>
    </w:p>
    <w:p>
      <w:r>
        <w:rPr>
          <w:b/>
        </w:rPr>
        <w:t xml:space="preserve">Porqué: </w:t>
      </w:r>
      <w:r>
        <w:t>Como base del tratamiento farmacológico se recomienda utilizar un antipsicótico típico como el haloperidol en el adulto mayor hospitalizado con delirium a dosis de 0.5-1 mg V.O. cada 8-12 horas, 0.5-1mg I.V. o I.M. Otras opciones de tratamiento que pueden utilizarse son: Olanzapina: 1-20mg/día; Quetiapina: 25-100mg/día; Risperidona: 0.25-4mg/día. Recordando iniciar con la menor dosis posible y aumentarla en base a la respuesta y el contexto general del paciente.</w:t>
      </w:r>
    </w:p>
    <w:p>
      <w:pPr>
        <w:pStyle w:val="Heading3"/>
      </w:pPr>
      <w:r>
        <w:t>3. ¿A nivel de que receptores actúa el fármaco anterior?</w:t>
      </w:r>
    </w:p>
    <w:p>
      <w:r>
        <w:rPr>
          <w:b/>
        </w:rPr>
        <w:t xml:space="preserve">Respuesta correcta: </w:t>
      </w:r>
      <w:r>
        <w:t>Bloqueo D2</w:t>
      </w:r>
    </w:p>
    <w:p>
      <w:r>
        <w:rPr>
          <w:b/>
        </w:rPr>
        <w:t xml:space="preserve">Porqué: </w:t>
      </w:r>
      <w:r>
        <w:t>El mecanismo de acción fundamental de los antipsicóticos típicos es el bloqueo dopaminérgico (concretamente, antagonismo del receptor de dopamina D2 postsináptico). Éste es el que permite el control y prevención de reaparición de los síntomas positivos, pero ningún antipsicótico es eficaz para la mejoría de los síntomas negativos (ojo, hay nuevas moléculas que sí tienen indicación para éstos).</w:t>
      </w:r>
    </w:p>
    <w:p>
      <w:pPr>
        <w:pStyle w:val="Heading2"/>
      </w:pPr>
      <w:r>
        <w:t>Caso</w:t>
      </w:r>
    </w:p>
    <w:p>
      <w:r>
        <w:t>Mujer de 54 años con antecedentes de tabaquismo suspendido hace 10 años, dieta rica en lácteos y actividad física ocasional. No consume alcohol ni otras sustancias. Su madre falleció a los 67 años por cáncer de mama infiltrante, y una tía materna fue diagnosticada con cáncer de mama a los 59 años. Como antecedentes ginecológicos presenta menarquia a los 12 años, dos partos eutócicos y menopausia espontánea a los 51 años. Actualmente cursa con síndrome climatérico severo. Acude por presentar sofocos intensos de predominio nocturno, insomnio y sudoraciones profusas que afectan significativamente</w:t>
      </w:r>
    </w:p>
    <w:p>
      <w:pPr>
        <w:pStyle w:val="Heading3"/>
      </w:pPr>
      <w:r>
        <w:t>4. ¿Cuál de los siguientes es el tratamiento de primera elección para los síntomas vasomotores intensos en este caso?</w:t>
      </w:r>
    </w:p>
    <w:p>
      <w:r>
        <w:rPr>
          <w:b/>
        </w:rPr>
        <w:t xml:space="preserve">Respuesta correcta: </w:t>
      </w:r>
      <w:r>
        <w:t>Estrógenos conjugados combinados con bazedoxifeno</w:t>
      </w:r>
    </w:p>
    <w:p>
      <w:r>
        <w:rPr>
          <w:b/>
        </w:rPr>
        <w:t xml:space="preserve">Porqué: </w:t>
      </w:r>
      <w:r>
        <w:t>En mujeres con útero y antecedentes familiares directos de cáncer de mama, el tratamiento de primera elección para los síntomas vasomotores intensos debe ofrecer alivio efectivo con el menor riesgo posible. Los estrógenos conjugados combinados con bazedoxifeno constituyen una alternativa adecuada cuando se desea evitar el uso de gestágenos por su posible relación con el riesgo de cáncer mamario. Bazedoxifeno actúa como antagonista estrogénico en el endometrio, ofreciendo protección sin necesidad de añadir un gestágeno, lo cual resulta especialmente beneficioso en este perfil de paciente. La tibolona está contraindicada en presencia de riesgo mamario aumentado. Los estrógenos vaginales no son útiles para síntomas vasomotores. La combinación con progesterona micronizada es válida, pero no es la elección preferente en pacientes con riesgo familiar de cáncer mamario, a ser posible usar el SERM.</w:t>
      </w:r>
    </w:p>
    <w:p>
      <w:pPr>
        <w:pStyle w:val="Heading3"/>
      </w:pPr>
      <w:r>
        <w:t>5. ¿Cuál de los siguientes efectos adversos está más relacionado con la vía oral de los estrógenos que con la vía transdérmica, y debe vigilarse especialmente al inicio de la terapia en esta paciente?</w:t>
      </w:r>
    </w:p>
    <w:p>
      <w:r>
        <w:rPr>
          <w:b/>
        </w:rPr>
        <w:t xml:space="preserve">Respuesta correcta: </w:t>
      </w:r>
      <w:r>
        <w:t>Incremento del riesgo de tromboembolismo venoso</w:t>
      </w:r>
    </w:p>
    <w:p>
      <w:r>
        <w:rPr>
          <w:b/>
        </w:rPr>
        <w:t xml:space="preserve">Porqué: </w:t>
      </w:r>
      <w:r>
        <w:t>La administración oral de estrógenos implica un primer paso hepático que estimula la producción de proteínas procoagulantes, aumentando el riesgo de trombosis venosa profunda o tromboembolismo pulmonar. Este efecto es dosis-dependiente y más marcado en los primeros 12 meses de tratamiento. La vía transdérmica evita este paso y se asocia con menor riesgo trombótico. El síndrome genitourinario mejora con estrógenos locales; la biodisponibilidad hepática se ve aumentada, no reducida, con la vía oral, y aunque puede haber cambios modestos en la presión arterial, el riesgo trombótico es más clínicamente relevante y documentado.</w:t>
      </w:r>
    </w:p>
    <w:p>
      <w:pPr>
        <w:pStyle w:val="Heading2"/>
      </w:pPr>
      <w:r>
        <w:t>Caso</w:t>
      </w:r>
    </w:p>
    <w:p>
      <w:r>
        <w:t>Masculino de 56 años, con antecedente de diabetes mellitus tipo 2 de 10 años de evolución, acude a urgencias por dolor intenso y urente en la región frontal derecha, acompañado de erupción vesicular sobre base eritematosa que afecta párpado superior, frente y dorso nasal. Refiere que el dolor inició 3 días antes de la aparición de las lesiones cutáneas y que actualmente presenta fotofobia y lagrimeo. A la exploración ocular se observa edema palpebral, hiperemia conjuntival y pequeñas lesiones vesiculares en borde palpebral y punta nasal. El segmento anterior muestra queratitis punteada superfi</w:t>
      </w:r>
    </w:p>
    <w:p>
      <w:pPr>
        <w:pStyle w:val="Heading3"/>
      </w:pPr>
      <w:r>
        <w:t>6. ¿Qué tratamiento es el más adecuado para el paciente en este momento?</w:t>
      </w:r>
    </w:p>
    <w:p>
      <w:r>
        <w:rPr>
          <w:b/>
        </w:rPr>
        <w:t xml:space="preserve">Respuesta correcta: </w:t>
      </w:r>
      <w:r>
        <w:t>Aciclovir oral y lubricación intensa</w:t>
      </w:r>
    </w:p>
    <w:p>
      <w:r>
        <w:rPr>
          <w:b/>
        </w:rPr>
        <w:t xml:space="preserve">Porqué: </w:t>
      </w:r>
      <w:r>
        <w:t>El tratamiento del herpes zóster oftálmico debe iniciarse idealmente en las primeras 72 horas con antivirales sistémicos como aciclovir 800 mg cada 5 horas, valaciclovir 1 g cada 8 horas o famciclovir 500 mg cada 8 horas por 7 días, para reducir complicaciones oculares y neuralgia postherpética; en casos severos puede requerirse aciclovir intravenoso. En algunos pacientes se añaden corticoides orales (prednisona 40–60 mg/día con reducción gradual) siempre junto con antivirales. A nivel ocular se indican lubricantes sin conservadores, antibióticos tópicos profilácticos y analgésicos, reservando aciclovir oftálmico, corticoides tópicos y ciclopléjicos para casos con queratitis o uveítis.</w:t>
      </w:r>
    </w:p>
    <w:p>
      <w:pPr>
        <w:pStyle w:val="Heading2"/>
      </w:pPr>
      <w:r>
        <w:t>Caso</w:t>
      </w:r>
    </w:p>
    <w:p>
      <w:r>
        <w:t>Niño masculino de 6 años previamente sano, llevado a consulta por edema palpebral matutino desde hace 5 días, que en las últimas 48 horas progresa a edema en extremidades inferiores y leve distensión abdominal. Niega dolor abdominal, fiebre o disminución marcada de la diuresis. No hay antecedentes de infecciones recientes ni de enfermedades crónicas. Exploración física: presión arterial 100/65 mmHg, frecuencia cardíaca 92 lpm, frecuencia respiratoria 20 rpm, temperatura 36.8 °C. Edema blando con fóvea en región periorbitaria y maleolar, sin cambios de coloración en piel, resto de la exploració</w:t>
      </w:r>
    </w:p>
    <w:p>
      <w:pPr>
        <w:pStyle w:val="Heading3"/>
      </w:pPr>
      <w:r>
        <w:t>7. ¿Cuál es el diagnóstico más probable en este paciente?</w:t>
      </w:r>
    </w:p>
    <w:p>
      <w:r>
        <w:rPr>
          <w:b/>
        </w:rPr>
        <w:t xml:space="preserve">Respuesta correcta: </w:t>
      </w:r>
      <w:r>
        <w:t>Síndrome nefrótico idiopático</w:t>
      </w:r>
    </w:p>
    <w:p>
      <w:r>
        <w:rPr>
          <w:b/>
        </w:rPr>
        <w:t xml:space="preserve">Porqué: </w:t>
      </w:r>
      <w:r>
        <w:t>El paciente presenta la tetrada diagnóstica del síndrome nefrótico: proteinuria en rango nefrótico (relación proteína/creatinina &gt;2), hipoalbuminemia (&lt;2.5 g/dL), edema generalizado y dislipidemia. No hay hematuria, hipertensión ni elevación de creatinina que sugieran un síndrome nefrítico o glomerulonefritis rápidamente progresiva. La nefropatía por IgA suele cursar con hematuria macroscópica coincidiendo con infecciones de vías respiratorias superiores, lo que no se describe aquí. La edad y el cuadro clínico sugieren síndrome nefrótico idiopático, con alta probabilidad de enfermedad de cambios mínimos como causa subyacente.</w:t>
      </w:r>
    </w:p>
    <w:p>
      <w:pPr>
        <w:pStyle w:val="Heading3"/>
      </w:pPr>
      <w:r>
        <w:t>8. ¿Cuál es el siguiente paso más apropiado en el manejo inicial de este paciente?</w:t>
      </w:r>
    </w:p>
    <w:p>
      <w:r>
        <w:rPr>
          <w:b/>
        </w:rPr>
        <w:t xml:space="preserve">Respuesta correcta: </w:t>
      </w:r>
      <w:r>
        <w:t>Iniciar tratamiento con prednisona y medidas de soporte</w:t>
      </w:r>
    </w:p>
    <w:p>
      <w:r>
        <w:rPr>
          <w:b/>
        </w:rPr>
        <w:t xml:space="preserve">Porqué: </w:t>
      </w:r>
      <w:r>
        <w:t>En un niño en edad preescolar o escolar menor de 10 años, con síndrome nefrótico y sin criterios de biopsia (edad &lt;1 año o &gt;12 años, creatinina elevada, hematuria macroscópica, hipertensión marcada o complemento bajo), el abordaje inicial es iniciar tratamiento empírico con glucocorticoides (prednisona) junto con medidas de soporte como restricción moderada de sal y líquidos si hay edema. La biopsia renal no está indicada de inicio en este caso, pues la presentación clínica es típica de enfermedad de cambios mínimos, que responde bien a esteroides. Los antibióticos no tienen indicación sin evidencia de infección, y la diálisis preventiva no se justifica ya que la función renal es normal. Ciclofosfamida es fármaco de segunda elección, en caso de corticorresistencia, cortico dependencia, recaída o necesidad de aumentar tratamiento.</w:t>
      </w:r>
    </w:p>
    <w:p>
      <w:pPr>
        <w:pStyle w:val="Heading2"/>
      </w:pPr>
      <w:r>
        <w:t>Caso</w:t>
      </w:r>
    </w:p>
    <w:p>
      <w:r>
        <w:t>Pareja heterosexual de mujer de 32 y hombre de 34 años acude a consulta por esterilidad primaria tras 15 meses de relaciones sexuales no protegidas y sincronizadas con la ventana fértil. La mujer ha tenido ciclos regulares desde la menarquia, no presenta dismenorrea ni hiperandrogenismo y no tiene antecedentes patológicos o ginecológicos relevantes. La exploración ginecológica y los estudios básicos son normales. Progesterona en fase lútea: 13.8 ng/mL (normal &gt;10) FSH en día 3 del ciclo: 6.2 U/L (normal &lt;10) AMH: 2.6 ng/mL (normal &gt;1.2) Estradiol basal: 52 pg/mL (normal &lt;80) Recuento de folícu</w:t>
      </w:r>
    </w:p>
    <w:p>
      <w:pPr>
        <w:pStyle w:val="Heading3"/>
      </w:pPr>
      <w:r>
        <w:t>9. ¿Cuál es el diagnóstico más probable relacionado con el factor masculino en este caso?</w:t>
      </w:r>
    </w:p>
    <w:p>
      <w:r>
        <w:rPr>
          <w:b/>
        </w:rPr>
        <w:t xml:space="preserve">Respuesta correcta: </w:t>
      </w:r>
      <w:r>
        <w:t>Teratozoospermia aislada</w:t>
      </w:r>
    </w:p>
    <w:p>
      <w:r>
        <w:rPr>
          <w:b/>
        </w:rPr>
        <w:t xml:space="preserve">Porqué: </w:t>
      </w:r>
      <w:r>
        <w:t>Los resultados del seminograma muestran un volumen adecuado, concentración espermática superior a 15 millones/mL y una motilidad progresiva dentro de parámetros normales (superior al 40 %). El REM también es aceptable para técnicas de baja complejidad (más de 3 millones de espermatozoides móviles), lo que descarta alteraciones severas en la concentración y en la motilidad. Sin embargo, el valor de morfología espermática es anormal, con solo 2 % de formas normales. Según los criterios estrictos de Kruger, se considera normal una morfología ≥4 %. Cuando esta proporción se encuentra entre 1 y 3 %, hablamos de teratozoospermia moderada a severa, y cuando está por debajo de 1 %, la alteración es severa. En este paciente, el diagnóstico más compatible es teratozoospermia aislada. Este hallazgo puede impactar negativamente la capacidad del espermatozoide para atravesar las barreras ovocitarias y lograr la fecundación, y está relacionado con fallos de fertilización, incluso si los otros parámetros son normales. Los otros diagnósticos no se ajustan a los datos del caso: no hay azoospermia ni oligozoospermia (la concentración es adecuada), la motilidad es normal, y la fragmentación del ADN espermático es una alteración funcional que requiere pruebas específicas no realizadas en este contexto.</w:t>
      </w:r>
    </w:p>
    <w:p>
      <w:pPr>
        <w:pStyle w:val="Heading3"/>
      </w:pPr>
      <w:r>
        <w:t>10. ¿Cuál es el manejo más apropiado para esta pareja en este momento?</w:t>
      </w:r>
    </w:p>
    <w:p>
      <w:r>
        <w:rPr>
          <w:b/>
        </w:rPr>
        <w:t xml:space="preserve">Respuesta correcta: </w:t>
      </w:r>
      <w:r>
        <w:t>Inseminación intrauterina tras estimulación con letrozol</w:t>
      </w:r>
    </w:p>
    <w:p>
      <w:r>
        <w:rPr>
          <w:b/>
        </w:rPr>
        <w:t xml:space="preserve">Porqué: </w:t>
      </w:r>
      <w:r>
        <w:t>El enfoque terapéutico ante una pareja con estudio femenino completamente normal y un seminograma masculino con teratozoospermia aislada depende de la severidad de la alteración y del valor del REM. En este caso, el REM se encuentra por encima del umbral mínimo de 3 millones, lo que permite considerar la inseminación intrauterina como una alternativa válida. La teratozoospermia aislada, si no se acompaña de alteraciones en la concentración o motilidad, no constituye una indicación inmediata de fecundación in vitro ni de microinyección. Por el contrario, el tratamiento inicial recomendado en estos casos es la inseminación intrauterina, asociada a estimulación ovárica suave (por ejemplo, con letrozol o citrato de clomifeno), para sincronizar la ovulación con la inseminación y mejorar la tasa de éxito. La fecundación in vitro se reserva para fallos de inseminación o cuando existan múltiples factores que impidan técnicas de baja complejidad. La espera sin intervención tiene tasas de éxito muy bajas en parejas con más de 12 meses de infertilidad. El uso de antioxidantes carece de evidencia sólida que respalde su eficacia en varones con teratozoospermia aislada.</w:t>
      </w:r>
    </w:p>
    <w:p>
      <w:pPr>
        <w:pStyle w:val="Heading2"/>
      </w:pPr>
      <w:r>
        <w:t>Caso</w:t>
      </w:r>
    </w:p>
    <w:p>
      <w:r>
        <w:t>Masculino de 27 años de edad que acude a consulta para valoración, puesto que fue diagnosticado con varicocele grado III hace un par de semanas, durante la consulta le comenta que tiene algunas dudas acerca de su padecimiento, por lo que acude a su valoración.</w:t>
      </w:r>
    </w:p>
    <w:p>
      <w:pPr>
        <w:pStyle w:val="Heading3"/>
      </w:pPr>
      <w:r>
        <w:t>11. ¿Cuál es la probabilidad de riesgo de que su hermano menor presente varicocele?</w:t>
      </w:r>
    </w:p>
    <w:p>
      <w:r>
        <w:rPr>
          <w:b/>
        </w:rPr>
        <w:t xml:space="preserve">Respuesta correcta: </w:t>
      </w:r>
      <w:r>
        <w:t>4.5 veces más riesgo de presentar varicocele que la población general.</w:t>
      </w:r>
    </w:p>
    <w:p>
      <w:r>
        <w:rPr>
          <w:b/>
        </w:rPr>
        <w:t xml:space="preserve">Porqué: </w:t>
      </w:r>
      <w:r>
        <w:t>El varicocele es la causa mas frecuente de infertilidad masculina reportándose hasta en un 70% en todo el mundo, se presenta entre el 15% al 20 % en población adolescente y adultos y en 40 % de los individuos con infertilidad. Los hermanos de pacientes con varicocele grado 3 tienen 4.5 veces más riesgo de presentar varicocele que la población general.</w:t>
      </w:r>
    </w:p>
    <w:p>
      <w:pPr>
        <w:pStyle w:val="Heading3"/>
      </w:pPr>
      <w:r>
        <w:t>12. ¿Cuál de las siguientes no pertenece a las indicaciones quirúrgicas para tratamiento del varicocele?</w:t>
      </w:r>
    </w:p>
    <w:p>
      <w:r>
        <w:rPr>
          <w:b/>
        </w:rPr>
        <w:t xml:space="preserve">Respuesta correcta: </w:t>
      </w:r>
      <w:r>
        <w:t>Varicocele asintomático</w:t>
      </w:r>
    </w:p>
    <w:p>
      <w:r>
        <w:rPr>
          <w:b/>
        </w:rPr>
        <w:t xml:space="preserve">Porqué: </w:t>
      </w:r>
      <w:r>
        <w:t>Las indicaciones terapéuticas del varicocele son: varicocele sintomático, disminución del volumen testicular, varicocele grado 3, varicocele bilateral palpable, adolescentes con varicocele y alteraciones de parámetros seminales.</w:t>
      </w:r>
    </w:p>
    <w:p>
      <w:pPr>
        <w:pStyle w:val="Heading2"/>
      </w:pPr>
      <w:r>
        <w:t>Caso</w:t>
      </w:r>
    </w:p>
    <w:p>
      <w:r>
        <w:t>Acude a su centro de salud masculino de 33 años de edad con antecedente de hiperparatiroidismo, se presenta por dolor tipo cólico unilateral intenso en flanco izquierdo con irradiación a genitales, se acompaña de hematuria en 2 ocasiones, molestias al orinar y tenesmo. Al examen físico se observa agitado y en posición antálgica, destaca signo de Giordano positivo en flanco izquierdo. Signos vitales 130/80 mmHg, FC 102 lpm, FR 20 rpm, Temp 36.8º</w:t>
      </w:r>
    </w:p>
    <w:p>
      <w:pPr>
        <w:pStyle w:val="Heading3"/>
      </w:pPr>
      <w:r>
        <w:t>13. El diagnóstico más probable es:</w:t>
      </w:r>
    </w:p>
    <w:p>
      <w:r>
        <w:rPr>
          <w:b/>
        </w:rPr>
        <w:t xml:space="preserve">Respuesta correcta: </w:t>
      </w:r>
      <w:r>
        <w:t>Litiasis renal</w:t>
      </w:r>
    </w:p>
    <w:p>
      <w:r>
        <w:rPr>
          <w:b/>
        </w:rPr>
        <w:t xml:space="preserve">Porqué: </w:t>
      </w:r>
      <w:r>
        <w:t>La litiasis renal es un proceso en donde ocurre una sobresaturación de sales y moléculas que se precipitan en solución, formando cristales, los cuales pueden fluir en orina o quedar retenidos en riñon. El cuadro clínico se caracteriza por dolor tipo cólico unilateral en flanco que se irradia a ingle o genitales, puede presentar hematuria, disuria o tenemos, puño percusión positiva (en un 68%), náuseas y vómito en un 40%.</w:t>
      </w:r>
    </w:p>
    <w:p>
      <w:pPr>
        <w:pStyle w:val="Heading3"/>
      </w:pPr>
      <w:r>
        <w:t>14. Criterio de envío a urología en pacientes con litiasis renal:</w:t>
      </w:r>
    </w:p>
    <w:p>
      <w:r>
        <w:rPr>
          <w:b/>
        </w:rPr>
        <w:t xml:space="preserve">Respuesta correcta: </w:t>
      </w:r>
      <w:r>
        <w:t>Datos de obstrucción urinaria</w:t>
      </w:r>
    </w:p>
    <w:p>
      <w:r>
        <w:rPr>
          <w:b/>
        </w:rPr>
        <w:t xml:space="preserve">Porqué: </w:t>
      </w:r>
      <w:r>
        <w:t>Los criterios de envío a urología en pacientes con litiasis renal incluyen: pacientes con sepsis, insuficiencia renal aguda, anuria o dolor persistente. Pacientes con litos &gt;10 mm o si no se expulsó con un manejo conservado después de 3 semanas. Hematuria persistente posterior a la expulsión del lito. Datos de obstrucción urinaria. Pacientes con comorbilidades (insuficiencia cardíaca, monorreno o transplantado).</w:t>
      </w:r>
    </w:p>
    <w:p>
      <w:pPr>
        <w:pStyle w:val="Heading3"/>
      </w:pPr>
      <w:r>
        <w:t>15. Edad máxima en que se considera epistaxis idiopática recurrente:</w:t>
      </w:r>
    </w:p>
    <w:p>
      <w:r>
        <w:rPr>
          <w:b/>
        </w:rPr>
        <w:t xml:space="preserve">Respuesta correcta: </w:t>
      </w:r>
      <w:r>
        <w:t>16</w:t>
      </w:r>
    </w:p>
    <w:p>
      <w:r>
        <w:rPr>
          <w:b/>
        </w:rPr>
        <w:t xml:space="preserve">Porqué: </w:t>
      </w:r>
      <w:r>
        <w:t>La Epistaxis es la hemorragia aguda de los orificios nasales, cavidad nasal o nasofaringe. Epistaxis idiopática recurrente es la hemorragia nasal repetida en pacientes de hasta 16 años en quienes no se ha identificado una causa. Epistaxis grave es aquella hemorragia nasal que no puede ser controlada por métodos convencionales, (presión local, cauterización, taponamiento) y en la que no se identifica un sitio preciso de sangrado.</w:t>
      </w:r>
    </w:p>
    <w:p>
      <w:pPr>
        <w:pStyle w:val="Heading2"/>
      </w:pPr>
      <w:r>
        <w:t>Caso</w:t>
      </w:r>
    </w:p>
    <w:p>
      <w:r>
        <w:t>Paciente de 55 años, femenino, con antecedentes de diabetes tipo 2 mal controlada y dislipidemia. Se presenta a consulta por sensación de pesadez en el abdomen y fatiga crónica, síntomas presentes desde hace varios meses. En el examen físico destaca un índice de masa corporal (IMC) de 34 kg/m², y hepatomegalia palpable a nivel de 2 cm por debajo del borde costal derecho. Los análisis de laboratorio muestran elevación de transaminasas (AST: 78 U/L, ALT: 102 U/L) y una relación AST/ALT de 0.8. La ecografía abdominal revela imagen de hígado graso moderado. No presenta antecedentes de consumo sign</w:t>
      </w:r>
    </w:p>
    <w:p>
      <w:pPr>
        <w:pStyle w:val="Heading3"/>
      </w:pPr>
      <w:r>
        <w:t>16. ¿Cuál es el estándar de oro para el diagnóstico definitivo?</w:t>
      </w:r>
    </w:p>
    <w:p>
      <w:r>
        <w:rPr>
          <w:b/>
        </w:rPr>
        <w:t xml:space="preserve">Respuesta correcta: </w:t>
      </w:r>
      <w:r>
        <w:t>Biopsia hepática</w:t>
      </w:r>
    </w:p>
    <w:p>
      <w:r>
        <w:rPr>
          <w:b/>
        </w:rPr>
        <w:t xml:space="preserve">Porqué: </w:t>
      </w:r>
      <w:r>
        <w:t>La biopsia hepática se considera el “estándar de oro” para establecer el diagnóstico de estatohepatitis no alcohólica y evaluar el grado de fibrosis en pacientes con enfermedad hepática no alcohólica.</w:t>
      </w:r>
    </w:p>
    <w:p>
      <w:pPr>
        <w:pStyle w:val="Heading2"/>
      </w:pPr>
      <w:r>
        <w:t>Caso</w:t>
      </w:r>
    </w:p>
    <w:p>
      <w:r>
        <w:t xml:space="preserve">Te encuentras realizado tu servicio social en una comunidad rural en el estado de Michoacán de Ocampo. Acude un paciente femenino de 22 años de edad, por presentar de manera súbita fiebre ondulante de 38.5 °C, la cual incrementa por las noches, pero disminuye por las mañanas. Además, refiere que sufre de episodios de diaforesis profusa por las noches, acompañada de escalofríos. Ella refiere que se dedica al campo y que consume leche bronca de vaca sin hervir, además de no lavarse las manos con frecuencia. Hace 8 horas se agrega dolor abdominal generalizado, de tipo cólico, diarrea profusa, no </w:t>
      </w:r>
    </w:p>
    <w:p>
      <w:pPr>
        <w:pStyle w:val="Heading3"/>
      </w:pPr>
      <w:r>
        <w:t>17. ¿Cual es el grupo etario más afectado por este padecimiento?</w:t>
      </w:r>
    </w:p>
    <w:p>
      <w:r>
        <w:rPr>
          <w:b/>
        </w:rPr>
        <w:t xml:space="preserve">Respuesta correcta: </w:t>
      </w:r>
      <w:r>
        <w:t>Personas de 25 a 44 años</w:t>
      </w:r>
    </w:p>
    <w:p>
      <w:r>
        <w:rPr>
          <w:b/>
        </w:rPr>
        <w:t xml:space="preserve">Porqué: </w:t>
      </w:r>
      <w:r>
        <w:t>La Brucelosis conocida también como Fiebre de Malta, Fiebre Ondulante, Enfermedad de Bang o Fiebre del Mediterráneo, es una zoonosis que afecta al ser humano, en México se reportan casos en todas las entidades, acumulándose en esta década más de 23 mil, el 70.6% de los estados que ocupan los diez primeros lugares: Nuevo León, Coahuila, Guanajuato, Sinaloa, Jalisco, Michoacán, Chihuahua, Zacatecas, Puebla, San Luis Potosí. Por edades el 40.7% de los casos se acumula en personas de 25 a 44 años, seguido del 30.1% en personas de 5 a 24 años y 26.8% entre 45 y más años. De los casos registrados en el Sistema de Información en Salud (SIS), se destaca que en 7,573 enfermos en el 58.4 % la fuente de infección fue por el consumo de lacticinios artesanales y el 31.0% por ingesta de leche cruda o bronca. De 6,274 enfermos el 27.0% del diagnóstico se consideró por evidencia clínica epidemiológica y por pruebas de laboratorio específicas el 73.0%.</w:t>
      </w:r>
    </w:p>
    <w:p>
      <w:pPr>
        <w:pStyle w:val="Heading3"/>
      </w:pPr>
      <w:r>
        <w:t>18. ¿En qué días se realizan las pruebas de control, para saber si el tratamiento está siendo efectivo en esta patología?</w:t>
      </w:r>
    </w:p>
    <w:p>
      <w:r>
        <w:rPr>
          <w:b/>
        </w:rPr>
        <w:t xml:space="preserve">Respuesta correcta: </w:t>
      </w:r>
      <w:r>
        <w:t>A los 30, 90 y 180 días</w:t>
      </w:r>
    </w:p>
    <w:p>
      <w:r>
        <w:rPr>
          <w:b/>
        </w:rPr>
        <w:t xml:space="preserve">Porqué: </w:t>
      </w:r>
      <w:r>
        <w:t>En la brucelosis de forma rutinaria se realizan dos pruebas serológicas para la determinación de anticuerpos, una presuntiva y otra confirmatoria; se llevan a cabo después de la primera consulta en que clínicamente se sospecha de la enfermedad, y antes de iniciar el tratamiento farmacológico; para repetirse después como pruebas de control a los 30, 90 y 180 días en que se concluye el tratamiento. El tratamiento se inicia posterior a la toma de muestras para el diagnóstico confirmatorio, es decir después que se ha realizado la prueba con Antígeno rosa de bengala; el continuarlo o interrumpirlo dependerá de los resultados que se tengan. Con el diagnóstico temprano y el tratamiento oportuno se busca: a) Acortar el período sintomático, b) Reducir las complicaciones y c) Prevenir las recidivas.</w:t>
      </w:r>
    </w:p>
    <w:p>
      <w:pPr>
        <w:pStyle w:val="Heading3"/>
      </w:pPr>
      <w:r>
        <w:t>19. ¿En qué consiste el "esquema C" del tratamiento?</w:t>
      </w:r>
    </w:p>
    <w:p>
      <w:r>
        <w:rPr>
          <w:b/>
        </w:rPr>
        <w:t xml:space="preserve">Respuesta correcta: </w:t>
      </w:r>
      <w:r>
        <w:t>Doxiciclina 200 mg, cada 24 horas por seis semanas + Rifampicina 600-900 mg</w:t>
      </w:r>
    </w:p>
    <w:p>
      <w:r>
        <w:rPr>
          <w:b/>
        </w:rPr>
        <w:t xml:space="preserve">Porqué: </w:t>
      </w:r>
      <w:r>
        <w:t>El tratamiento se basa en el uso de antimicrobianos y de forma simultánea la ministración de medicamento sintomático. Debiendo consultar el médico en la historia clínica lo relativo a las alergias, enfermedades crónicas degenerativas y la sinergia que pudiese presentarse por el uso de otros fármacos en este paciente. Así mismo, el tratamiento y control del mismo quedarán registrados en el formato oficial “Tarjeta de Registro y Control de Caso de Brucelosis”. Los esquemas que se utilizan son los siguientes: Esquema A: De primera elección en adultos con función renal normal, Mujeres no embarazadas, ni en lactancia, Tetraciclina tabletas o comprimidos 500 mg cada 6 horas por 21 días + Estreptomicina solución inyectable de 1 g cada 24 horas por 21 días. Esquema B: Indicado en niños menores de 8 años, mujeres embarazadas (después del primer trimestre), y ancianos. Adultos: Rifampicina 300 mg cada 8 horas +Trimetoprima con Sulfametoxazol 160/800 mg cada 12 horas por 21 días. Niños: Rifampicina 20 mg/kg/día dividido en tres dosis + Trimetoprima con Sulfametoxazol 8/40 mg/kg/día dividido en dos dosis, por 21 días. Esquema C: En los casos en los que exista fracaso con la ministración de los esquemas A y B, o en los que la enfermedad presenta curso prolongado. Adultos: Doxiciclina 200 mg, cada 24 horas por seis semanas + Rifampicina 600-900 mg, cada 24 horas por seis semanas. Niños: Doxiciclina 4-5 mg/kg/día, por seis semanas dividido en tres dosis + Rifampicina 20 mg/kg/día, dividido en tres dosis por seis semanas.</w:t>
      </w:r>
    </w:p>
    <w:p>
      <w:pPr>
        <w:pStyle w:val="Heading2"/>
      </w:pPr>
      <w:r>
        <w:t>Caso</w:t>
      </w:r>
    </w:p>
    <w:p>
      <w:r>
        <w:t>Paciente femenina de 27 años, G2P1, con embarazo de 39 semanas, acude a urgencias por sangrado vaginal abundante y dolor abdominal intenso de una hora de evolución. Refiere movimientos fetales disminuidos en las últimas 6 horas. A la exploración se encuentra con TA 85/55 mmHg, FC 120 lpm, FR 30 rpm, palidez marcada y diaforesis. En la palpación abdominal presenta hipertonía uterina y sufrimiento fetal en la cardiotocografía. Se inicia reposición de líquidos y se solicita hemoglobina, encontrando Hb 7.2 g/dL.</w:t>
      </w:r>
    </w:p>
    <w:p>
      <w:pPr>
        <w:pStyle w:val="Heading3"/>
      </w:pPr>
      <w:r>
        <w:t>20. ¿Cuál es el diagnóstico más probable en esta paciente?</w:t>
      </w:r>
    </w:p>
    <w:p>
      <w:r>
        <w:rPr>
          <w:b/>
        </w:rPr>
        <w:t xml:space="preserve">Respuesta correcta: </w:t>
      </w:r>
      <w:r>
        <w:t>Desprendimiento prematuro de placenta</w:t>
      </w:r>
    </w:p>
    <w:p>
      <w:r>
        <w:rPr>
          <w:b/>
        </w:rPr>
        <w:t xml:space="preserve">Porqué: </w:t>
      </w:r>
      <w:r>
        <w:t>El desprendimiento prematuro de placenta es una causa importante de hemorragia obstétrica y se caracteriza por sangrado vaginal, hipertonicidad uterina, dolor abdominal intenso y alteraciones en la frecuencia cardíaca fetal.</w:t>
      </w:r>
    </w:p>
    <w:p>
      <w:pPr>
        <w:pStyle w:val="Heading3"/>
      </w:pPr>
      <w:r>
        <w:t>21. ¿Cuál es la medida terapéutica más importante en esta paciente?</w:t>
      </w:r>
    </w:p>
    <w:p>
      <w:r>
        <w:rPr>
          <w:b/>
        </w:rPr>
        <w:t xml:space="preserve">Respuesta correcta: </w:t>
      </w:r>
      <w:r>
        <w:t>Reanimación con líquidos y transfusión sanguínea</w:t>
      </w:r>
    </w:p>
    <w:p>
      <w:r>
        <w:rPr>
          <w:b/>
        </w:rPr>
        <w:t xml:space="preserve">Porqué: </w:t>
      </w:r>
      <w:r>
        <w:t>El manejo inicial del choque hemorrágico obstétrico incluye reposición agresiva de líquidos, transfusión de hemoderivados si es necesario y resolución inmediata del embarazo para salvar la vida materno-fetal.</w:t>
      </w:r>
    </w:p>
    <w:p>
      <w:pPr>
        <w:pStyle w:val="Heading2"/>
      </w:pPr>
      <w:r>
        <w:t>Caso</w:t>
      </w:r>
    </w:p>
    <w:p>
      <w:r>
        <w:t>Un hombre de 29 años, jugador de fútbol, acude a urgencias después de sufrir un traumatismo en la rodilla derecha durante un partido. Refiere que su pie quedó fijo en el terreno mientras su cuerpo giró, seguido de dolor intenso, sensación de inestabilidad y dificultad para apoyar la extremidad. A la exploración presenta derrame articular y dolor en los compartimentos medial y lateral de la rodilla. Se realiza una evaluación sistemática de la estabilidad, cajón anterior y posterior, estrés en varo y valgo a 0° y 30°, y prueba de Dial. Durante la prueba de estrés en valgo se identifica una apert</w:t>
      </w:r>
    </w:p>
    <w:p>
      <w:pPr>
        <w:pStyle w:val="Heading3"/>
      </w:pPr>
      <w:r>
        <w:t>22. ¿Qué indica una prueba de estrés en varo positiva a 0° en un paciente con traumatismo de rodilla?</w:t>
      </w:r>
    </w:p>
    <w:p>
      <w:r>
        <w:rPr>
          <w:b/>
        </w:rPr>
        <w:t xml:space="preserve">Respuesta correcta: </w:t>
      </w:r>
      <w:r>
        <w:t>Lesión grave de la esquina posterolateral asociada a lesión de un ligamento cruzado</w:t>
      </w:r>
    </w:p>
    <w:p>
      <w:r>
        <w:rPr>
          <w:b/>
        </w:rPr>
        <w:t xml:space="preserve">Porqué: </w:t>
      </w:r>
      <w:r>
        <w:t>Una prueba de estrés positiva a 0ºindicalesión grave de la esquina posterolateral con lesión adicional de ligamento cruzado, ya que su efecto estabilizador en la posición de exploración está comprometida. Cuando esta prueba es positiva es posible encontrar afectación del ligamento colateral peroneo con la porción menisco tibial, así como lesión en la porción lateral de la cápsula, el tendón poplíteo y lesión parcial de la banda iliotibial.</w:t>
      </w:r>
    </w:p>
    <w:p>
      <w:pPr>
        <w:pStyle w:val="Heading3"/>
      </w:pPr>
      <w:r>
        <w:t>23. ¿Cuál es un estudio auxiliar que puede utilizarse ante la sospecha clínica de ruptura de los ligamentos colaterales de la rodilla?</w:t>
      </w:r>
    </w:p>
    <w:p>
      <w:r>
        <w:rPr>
          <w:b/>
        </w:rPr>
        <w:t xml:space="preserve">Respuesta correcta: </w:t>
      </w:r>
      <w:r>
        <w:t>Ultrasonografía</w:t>
      </w:r>
    </w:p>
    <w:p>
      <w:r>
        <w:rPr>
          <w:b/>
        </w:rPr>
        <w:t xml:space="preserve">Porqué: </w:t>
      </w:r>
      <w:r>
        <w:t>En las personas que sufren traumatismo de rodilla con datos clínicos que sugieran ruptura de los ligamentos colaterales (medial o lateral), está indicado el estudio de ultrasonografía como auxiliar diagnóstico.</w:t>
      </w:r>
    </w:p>
    <w:p>
      <w:pPr>
        <w:pStyle w:val="Heading3"/>
      </w:pPr>
      <w:r>
        <w:t>24. ¿Qué hallazgo puede observarse en la ultrasonografía cuando existe un proceso inflamatorio en la zona afectada por una lesión ligamentaria?</w:t>
      </w:r>
    </w:p>
    <w:p>
      <w:r>
        <w:rPr>
          <w:b/>
        </w:rPr>
        <w:t xml:space="preserve">Respuesta correcta: </w:t>
      </w:r>
      <w:r>
        <w:t>Imagen hipoecoica o anecoica secundaria al aumento de líquido sinovial</w:t>
      </w:r>
    </w:p>
    <w:p>
      <w:r>
        <w:rPr>
          <w:b/>
        </w:rPr>
        <w:t xml:space="preserve">Porqué: </w:t>
      </w:r>
      <w:r>
        <w:t>Cuando existe un proceso inflamatorio en la zona afectada, se observa una imagen hipoecoica o anecoica por ultrasonografía, y puede deberse al aumento de líquido sinovial.</w:t>
      </w:r>
    </w:p>
    <w:p>
      <w:pPr>
        <w:pStyle w:val="Heading2"/>
      </w:pPr>
      <w:r>
        <w:t>Caso</w:t>
      </w:r>
    </w:p>
    <w:p>
      <w:r>
        <w:t>A 9-month-old boy is brought to third level pediatric clinic located in Polanco, CDMX, for evaluation of developmental delay. The child is breastfed, but the mother states that recently, he has been irritable and frequently has been having feeding difficulties. She have noticed that he is unable to roll over, while his older brother of 3 years now, was able to sit up unassisted at the same age. He is of Ashkenazi Jewish descent and lives within a very tight community. Vitals are within normal limits. Facial examination reveals no structural abnormalities or coarse features. Neurological examin</w:t>
      </w:r>
    </w:p>
    <w:p>
      <w:pPr>
        <w:pStyle w:val="Heading3"/>
      </w:pPr>
      <w:r>
        <w:t>25. Whats the most likely diagnosis?</w:t>
      </w:r>
    </w:p>
    <w:p>
      <w:r>
        <w:rPr>
          <w:b/>
        </w:rPr>
        <w:t xml:space="preserve">Respuesta correcta: </w:t>
      </w:r>
      <w:r>
        <w:t>Krabbe disease</w:t>
      </w:r>
    </w:p>
    <w:p>
      <w:r>
        <w:rPr>
          <w:b/>
        </w:rPr>
        <w:t xml:space="preserve">Porqué: </w:t>
      </w:r>
      <w:r>
        <w:t>La enfermedad de Krabbe es un trastorno de almacenamiento o depósito lisosomal que lleva a la acumulación de galactocerebrósido y psicosina en el sistema nervioso central y periférico debido a una deficiencia en la enzima galactocerebrosidasa, lo que resulta en desmielinización neural. La evidencia patológica de la enfermedad de Krabbe se manifiesta por células globoides en el tejido neural, que son macrófagos con acúmulos lipídicos abundantes ( lipid-laden macrophages) y son específicos de esta condición. En general, este grupo de enfermedades es raro y difícil de aprender, por lo que recomiendo que realices una tabla con las principales características de cada una para que al aparecer dicha característica en el caso clínico te orientes. Es importante recordar que las 2 enfermedades que SI producen dismorfia facial son las mucopolisacaridosis (Hunter y Hurler). En nuestro caso, la neuropatía periférica y central, la falta de anormalidades faciales y por supuesto las CÉLULAS GLOBOIDES, nos ayudan a llegar al diagnóstico.</w:t>
      </w:r>
    </w:p>
    <w:p>
      <w:pPr>
        <w:pStyle w:val="Heading3"/>
      </w:pPr>
      <w:r>
        <w:t>26. Accumulation of which of the following metabolites was responsible for this patient’s symptoms?</w:t>
      </w:r>
    </w:p>
    <w:p>
      <w:r>
        <w:rPr>
          <w:b/>
        </w:rPr>
        <w:t xml:space="preserve">Respuesta correcta: </w:t>
      </w:r>
      <w:r>
        <w:t>Galactocerebroside</w:t>
      </w:r>
    </w:p>
    <w:p>
      <w:r>
        <w:rPr>
          <w:b/>
        </w:rPr>
        <w:t xml:space="preserve">Porqué: </w:t>
      </w:r>
      <w:r>
        <w:t>La enfermedad de Krabbe es causada por una deficiencia de la enzima galactocerebrósidasa, lo que resulta en la acumulación de galactocerebrósido y psicosina, una esfingomielina que provoca desmielinización en el sistema nervioso central y periférico. La mayoría de los pacientes con enfermedad de Krabbe se presentan en los primeros 12 meses de vida. En la mayoría de los casos, el pronóstico es desfavorable y la enfermedad es progresiva. Las manifestaciones clínicas incluyen irritabilidad, dificultad para alimentarse, regresión de hitos del desarrollo, neuropatía periférica, espasticidad y atrofia muscular. El diagnóstico de la enfermedad de Krabbe se realiza estimando la actividad de la galactocerebrósido en leucocitos aislados de la sangre total.</w:t>
      </w:r>
    </w:p>
    <w:p>
      <w:pPr>
        <w:pStyle w:val="Heading3"/>
      </w:pPr>
      <w:r>
        <w:t>27. The mother is now pregnant and asks What are the odds for the new baby to manifest the disease?</w:t>
      </w:r>
    </w:p>
    <w:p>
      <w:r>
        <w:rPr>
          <w:b/>
        </w:rPr>
        <w:t xml:space="preserve">Respuesta correcta: </w:t>
      </w:r>
      <w:r>
        <w:t>25%</w:t>
      </w:r>
    </w:p>
    <w:p>
      <w:r>
        <w:rPr>
          <w:b/>
        </w:rPr>
        <w:t xml:space="preserve">Porqué: </w:t>
      </w:r>
      <w:r>
        <w:t>Primero hay que recordar que la enfermedad de Krabbe se transmite de forma autosómica recesiva, lo cual quiere decir que requiere que ambos cromosomas heredados (paterno y materno) posean la mutación. Los padres son portadores, por cuanto no expresaron el fenotipo en la infancia. Eso quiere decir que tienen un cromosoma autosoma normal y otro afectado. Al hacer un cuadro de Punnett (https://w.wiki/8zPE) te darás cuenta de que el 25% de los hijos expresarán el fenotipo, el 25% será sano y el 50% será portador silente, al ser recesiva la expresión. Recomiendo que lleves a cabo cuadros de Punnett cada vez que tengas duda hasta que llegues a la maestría de determinar mentalmente las probabilidades (odds) de cada tipo de herencia. Es en realidad muy sencillo. Mismo consejo para los casos en inglés. Busca y traduce TODAS las palabras que no entiendas. Con el paso del tiempo ya no será necesario. Suerte.</w:t>
      </w:r>
    </w:p>
    <w:p>
      <w:pPr>
        <w:pStyle w:val="Heading2"/>
      </w:pPr>
      <w:r>
        <w:t>Caso</w:t>
      </w:r>
    </w:p>
    <w:p>
      <w:r>
        <w:t>Paciente masculino de 26 años de edad, sin antecedentes patológicos de importancia, acude a consulta por presentar dolor en rodilla y tobillo izquierdos de forma progresiva desde hace 2 meses, acompañado de edema articular y rigidez matutina de más de 30 minutos. Refiere dificultad para caminar por el dolor en las articulaciones mencionadas. Niega lumbalgia o síntomas axiales. No ha presentado fiebre ni síntomas sistémicos. Ha recibido manejo con AINEs y paracetamol sin mejoría clínica. A la exploración física se observa tumefacción, calor local y dolor a la movilización activa y pasiva en rod</w:t>
      </w:r>
    </w:p>
    <w:p>
      <w:pPr>
        <w:pStyle w:val="Heading3"/>
      </w:pPr>
      <w:r>
        <w:t>28. ¿Cuál es la manifestación extraarticular más común en estos pacientes?</w:t>
      </w:r>
    </w:p>
    <w:p>
      <w:r>
        <w:rPr>
          <w:b/>
        </w:rPr>
        <w:t xml:space="preserve">Respuesta correcta: </w:t>
      </w:r>
      <w:r>
        <w:t>Uveítis anterior</w:t>
      </w:r>
    </w:p>
    <w:p>
      <w:r>
        <w:rPr>
          <w:b/>
        </w:rPr>
        <w:t xml:space="preserve">Porqué: </w:t>
      </w:r>
      <w:r>
        <w:t>El diagnóstico probable es espondilitis anquilosante, la cual se caracteriza por presentarse en varones jóvenes con lumbalgia que empeora al reposo y mejora con la actividad física, así como limitación de los arcos de movimiento valorados por el test de Schober. Además presentan artritis periférica de predominio en miembros inferiores. La manifestación extraarticular más frecuente es la uveítis anterior.</w:t>
      </w:r>
    </w:p>
    <w:p>
      <w:pPr>
        <w:pStyle w:val="Heading3"/>
      </w:pPr>
      <w:r>
        <w:t>29. En caso de refractariedad al manejo con AINE y paracetamol a dosis máximas durante 3 meses, ¿Cuál es el siguiente manejo de elección?</w:t>
      </w:r>
    </w:p>
    <w:p>
      <w:r>
        <w:rPr>
          <w:b/>
        </w:rPr>
        <w:t xml:space="preserve">Respuesta correcta: </w:t>
      </w:r>
      <w:r>
        <w:t>Sulfasalazina</w:t>
      </w:r>
    </w:p>
    <w:p>
      <w:r>
        <w:rPr>
          <w:b/>
        </w:rPr>
        <w:t xml:space="preserve">Porqué: </w:t>
      </w:r>
      <w:r>
        <w:t>En el caso de artritis periférica, el manejo de elección en estos pacientes es la sulfasalazina. No se recomiendan los esteroides sistémicos</w:t>
      </w:r>
    </w:p>
    <w:p>
      <w:pPr>
        <w:pStyle w:val="Heading3"/>
      </w:pPr>
      <w:r>
        <w:t>30. ¿Qué dato de la enfermedad de Forestier permite hacer el diagnóstico diferencial con la patología de este paciente?</w:t>
      </w:r>
    </w:p>
    <w:p>
      <w:r>
        <w:rPr>
          <w:b/>
        </w:rPr>
        <w:t xml:space="preserve">Respuesta correcta: </w:t>
      </w:r>
      <w:r>
        <w:t>Columna en imagen en vela derretida</w:t>
      </w:r>
    </w:p>
    <w:p>
      <w:r>
        <w:rPr>
          <w:b/>
        </w:rPr>
        <w:t xml:space="preserve">Porqué: </w:t>
      </w:r>
      <w:r>
        <w:t>El primer auxiliar diagnóstico en solicitar en pacientes con espondilitis anquilosante es la radiografía de columna vertebral, en la cual será característica la imagen en "caña de bambú", anquilosis parcial o total y sacroilitis. En la enfermedad de Forestier, se verá imagen en "vela derretida"</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ENARM Master — registro personal de estudio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erpoDoc">
    <w:name w:val="CuerpoDoc"/>
    <w:basedOn w:val="Normal"/>
    <w:rPr>
      <w:rFonts w:ascii="Calibri" w:hAnsi="Calibr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