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Entrenamiento ENARM — Pediatría</w:t>
      </w:r>
    </w:p>
    <w:p>
      <w:pPr>
        <w:pStyle w:val="Heading2"/>
      </w:pPr>
      <w:r>
        <w:t>Sesión de tarde (3 temas) — 15 de julio de 2026</w:t>
      </w:r>
    </w:p>
    <w:p>
      <w:pPr>
        <w:pStyle w:val="Heading1"/>
      </w:pPr>
      <w:r>
        <w:t>Tema 1: Intususcepción Intestinal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Lactantes 4-9 meses, principalmente hombres 4:1. Casi todos idiopáticos en menores de 2 años. Tipo más frecuente: ileocecocólica. En mayores de 2 años buscar punto patológico (Divertículo de Meckel).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Dolor abdominal espasmódico cada 20-30 min, alternado con letargo. Progresión a vómito biliar y fatiga intestinal.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Introducción telescópica de segmento proximal (intususcepto) en distal (intususcipiente). Compresión del mesenterio → obstrucción venosa → edema → sangrado → heces en jalea de grosella.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Dolor cólico intermitente, elevación de rodillas, llanto con palidez, letargo entre episodios, vómito biliar, masa en forma de salchicha en cuadrante superior derecho o epigastrio, heces en jalea de grosella.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Radiografía de abdomen (inicial). Ultrasonido (complementario). Colon por enema hidrostático o neumático (estudio de elección: diagnóstico + terapéutico).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Reanimación hídrica + sonda nasogástrica. Reducción por enema si: evolución &lt;24h, sin perforación/peritonitis/sepsis, sin oclusión alta, sin rectorragia importante, &lt;2 años. Cirugía urgente si fracasa enema o hay perforación/necrosis.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Apendicitis, vólvulo intestinal, Divertículo de Meckel, hernia inguinada estrangulada.</w:t>
            </w:r>
          </w:p>
        </w:tc>
      </w:tr>
    </w:tbl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Lactante masculino de 6 meses, sin antecedentes, presenta episodios de llanto intenso con palidez y elevación de rodillas cada 20 minutos, alternados con letargo. Al examen: masa palpable en epigastrio. ¿Cuál es el diagnóstico más probable?</w:t>
      </w:r>
    </w:p>
    <w:p>
      <w:r>
        <w:t>A) Apendicitis aguda</w:t>
      </w:r>
    </w:p>
    <w:p>
      <w:r>
        <w:t>B) Intususcepción intestinal</w:t>
      </w:r>
    </w:p>
    <w:p>
      <w:r>
        <w:t>C) Vólvulo intestinal</w:t>
      </w:r>
    </w:p>
    <w:p>
      <w:r>
        <w:t>D) Hernia inguinada estrangulada</w:t>
      </w:r>
    </w:p>
    <w:p>
      <w:r>
        <w:rPr>
          <w:b/>
        </w:rPr>
        <w:t>Respuesta: B</w:t>
      </w:r>
    </w:p>
    <w:p>
      <w:r>
        <w:t>Explicación: Lactante 4-9 meses, dolor espasmódico intermitente cada 20-30 min con letargo entre episodios, masa en forma de salchicha. Intususcepción ileocecocólica. Apendicitis: dolor continuo FID. Vólvulo: distensión abrupta. Hernia: masa inguinal.</w:t>
      </w:r>
    </w:p>
    <w:p>
      <w:r>
        <w:rPr>
          <w:b/>
        </w:rPr>
        <w:t xml:space="preserve">Sesgo que activa: </w:t>
      </w:r>
      <w:r>
        <w:t>Anclaje — pensar en apendicitis por dolor abdominal sin considerar edad y patrón intermitente.</w:t>
      </w:r>
    </w:p>
    <w:p/>
    <w:p>
      <w:pPr>
        <w:pStyle w:val="Heading3"/>
      </w:pPr>
      <w:r>
        <w:t>Pregunta 2</w:t>
      </w:r>
    </w:p>
    <w:p>
      <w:r>
        <w:t>Lactante de 8 meses con intususcepción confirmada. ¿Cuál es el estudio de elección para diagnóstico y tratamiento?</w:t>
      </w:r>
    </w:p>
    <w:p>
      <w:r>
        <w:t>A) Radiografía de abdomen</w:t>
      </w:r>
    </w:p>
    <w:p>
      <w:r>
        <w:t>B) Ultrasonido abdominal</w:t>
      </w:r>
    </w:p>
    <w:p>
      <w:r>
        <w:t>C) Colon por enema</w:t>
      </w:r>
    </w:p>
    <w:p>
      <w:r>
        <w:t>D) Tomografía abdominal</w:t>
      </w:r>
    </w:p>
    <w:p>
      <w:r>
        <w:rPr>
          <w:b/>
        </w:rPr>
        <w:t>Respuesta: C</w:t>
      </w:r>
    </w:p>
    <w:p>
      <w:r>
        <w:t>Explicación: Colon por enema (hidrostático o neumático) es estudio de elección: diagnóstico + potencialmente terapéutico (reduce la intususcepción). Radiografía es inicial. Ultrasonido es complementario.</w:t>
      </w:r>
    </w:p>
    <w:p>
      <w:r>
        <w:rPr>
          <w:b/>
        </w:rPr>
        <w:t xml:space="preserve">Sesgo que activa: </w:t>
      </w:r>
      <w:r>
        <w:t>Disponibilidad — pensar en ultrasonido por ser "más seguro" sin considerar que el enema es diagnóstico Y terapéutico.</w:t>
      </w:r>
    </w:p>
    <w:p/>
    <w:p>
      <w:pPr>
        <w:pStyle w:val="Heading3"/>
      </w:pPr>
      <w:r>
        <w:t>Pregunta 3</w:t>
      </w:r>
    </w:p>
    <w:p>
      <w:r>
        <w:t>Lactante de 7 meses con intususcepción, 12 horas de evolución, sin signos de perforación. ¿Cuál es el manejo inicial?</w:t>
      </w:r>
    </w:p>
    <w:p>
      <w:r>
        <w:t>A) Cirugía urgente</w:t>
      </w:r>
    </w:p>
    <w:p>
      <w:r>
        <w:t>B) Reducción por enema</w:t>
      </w:r>
    </w:p>
    <w:p>
      <w:r>
        <w:t>C) Observación 24h</w:t>
      </w:r>
    </w:p>
    <w:p>
      <w:r>
        <w:t>D) Antibióticos IV</w:t>
      </w:r>
    </w:p>
    <w:p>
      <w:r>
        <w:rPr>
          <w:b/>
        </w:rPr>
        <w:t>Respuesta: B</w:t>
      </w:r>
    </w:p>
    <w:p>
      <w:r>
        <w:t>Explicación: Cumple criterios para reducción por enema: evolución &lt;24h, sin perforación/peritonitis/sepsis. Reanimación hídrica + sonda NG primero, luego enema. Cirugía solo si fracasa enema o hay complicaciones.</w:t>
      </w:r>
    </w:p>
    <w:p>
      <w:r>
        <w:rPr>
          <w:b/>
        </w:rPr>
        <w:t xml:space="preserve">Sesgo que activa: </w:t>
      </w:r>
      <w:r>
        <w:t>Cierre prematuro — saltar a cirugía sin intentar reducción no quirúrgica primero.</w:t>
      </w:r>
    </w:p>
    <w:p/>
    <w:p>
      <w:pPr>
        <w:pStyle w:val="Heading3"/>
      </w:pPr>
      <w:r>
        <w:t>Pregunta 4</w:t>
      </w:r>
    </w:p>
    <w:p>
      <w:r>
        <w:t>Lactante con intususcepción reducida por enema exitosamente. ¿Cuál es el riesgo de recurrencia?</w:t>
      </w:r>
    </w:p>
    <w:p>
      <w:r>
        <w:t>A) 1-3%</w:t>
      </w:r>
    </w:p>
    <w:p>
      <w:r>
        <w:t>B) 5-10%</w:t>
      </w:r>
    </w:p>
    <w:p>
      <w:r>
        <w:t>C) 15-20%</w:t>
      </w:r>
    </w:p>
    <w:p>
      <w:r>
        <w:t>D) 25-30%</w:t>
      </w:r>
    </w:p>
    <w:p>
      <w:r>
        <w:rPr>
          <w:b/>
        </w:rPr>
        <w:t>Respuesta: B</w:t>
      </w:r>
    </w:p>
    <w:p>
      <w:r>
        <w:t>Explicación: Riesgo de recurrencia 5-10% después de reducción exitosa. Vigilancia 24 horas post-reducción.</w:t>
      </w:r>
    </w:p>
    <w:p>
      <w:r>
        <w:rPr>
          <w:b/>
        </w:rPr>
        <w:t xml:space="preserve">Sesgo que activa: </w:t>
      </w:r>
      <w:r>
        <w:t>Prevalencia base — subestimar el riesgo de recurrencia por pensar que la reducción es definitiva.</w:t>
      </w:r>
    </w:p>
    <w:p/>
    <w:p>
      <w:pPr>
        <w:pStyle w:val="Heading3"/>
      </w:pPr>
      <w:r>
        <w:t>Pregunta 5</w:t>
      </w:r>
    </w:p>
    <w:p>
      <w:r>
        <w:t>Niño de 4 años con intususcepción yeyunoileal recurrente. ¿Cuál es la causa más probable?</w:t>
      </w:r>
    </w:p>
    <w:p>
      <w:r>
        <w:t>A) Idiopática</w:t>
      </w:r>
    </w:p>
    <w:p>
      <w:r>
        <w:t>B) Divertículo de Meckel</w:t>
      </w:r>
    </w:p>
    <w:p>
      <w:r>
        <w:t>C) Tumor intestinal</w:t>
      </w:r>
    </w:p>
    <w:p>
      <w:r>
        <w:t>D) Infección viral</w:t>
      </w:r>
    </w:p>
    <w:p>
      <w:r>
        <w:rPr>
          <w:b/>
        </w:rPr>
        <w:t>Respuesta: B</w:t>
      </w:r>
    </w:p>
    <w:p>
      <w:r>
        <w:t>Explicación: En mayores de 2 años, aumentar sospecha de punto patológico. Divertículo de Meckel es la causa más común de punto patológico en intususcepción en niños mayores. En &lt;2 años la mayoría son idiopáticas.</w:t>
      </w:r>
    </w:p>
    <w:p>
      <w:r>
        <w:rPr>
          <w:b/>
        </w:rPr>
        <w:t xml:space="preserve">Sesgo que activa: </w:t>
      </w:r>
      <w:r>
        <w:t>Prevalencia base — asumir idiopático como en lactantes sin considerar que en &gt;2 años buscar punto patológico.</w:t>
      </w:r>
    </w:p>
    <w:p/>
    <w:p>
      <w:r>
        <w:br w:type="page"/>
      </w:r>
    </w:p>
    <w:p>
      <w:pPr>
        <w:pStyle w:val="Heading1"/>
      </w:pPr>
      <w:r>
        <w:t>Tema 2: Enfermedad Diarreica Aguda (EDA)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Menores de 5 años. Rotavirus es la causa viral más común en &lt;2 años. Norovirus en escolares. Shigella en disentería. ETEC = diarrea del viajero. EHEC asociada a SHU.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Inicio agudo, duración menor a 14 días. Diarrea acuosa o con sangre, puede acompañarse de fiebre y vómito.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Secretora (persiste en ayuno, cólera/ETEC), osmótica (cede con ayuno, intolerancia lactosa), inflamatoria (leucocitos, sangre, fiebre), motilidad alterada.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Diarrea acuosa o con sangre, fiebre, vómito, dolor abdominal. Signos de deshidratación: ojos hundidos, boca seca, letargo, llenado capilar prolongado.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Clínico. No rutinario lab. Estudios en: deshidratación grave, falla a SRO, síntomas persistentes o con sangre, inmunocomprometidos.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Plan A (sin deshidratación): SRO + alimentación. Plan B (leve-moderada): SRO 50-100 mL/kg en 4h. Plan C (grave): IV Ringer-Lactato 100 mL/kg. Zinc en todos. Ondansetrón para vómito. Antibióticos solo en específicos (Shigella, cólera, amebiasis, giardiasis, C. difficile).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Apendicitis (Yersinia pseudoapendicitis), SHU (EHEC), colitis pseudomembranosa (C. difficile), malabsorción crónica.</w:t>
            </w:r>
          </w:p>
        </w:tc>
      </w:tr>
    </w:tbl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Lactante femenino de 10 meses con diarrea acuosa profusa de 2 días, 8 evacuaciones en 24h, vómito. Al examen: inquieta, ojos hundidos, boca seca, bebe con avidez, llenado capilar 2 segundos. ¿Qué plan de hidratación corresponde?</w:t>
      </w:r>
    </w:p>
    <w:p>
      <w:r>
        <w:t>A) Plan A</w:t>
      </w:r>
    </w:p>
    <w:p>
      <w:r>
        <w:t>B) Plan B</w:t>
      </w:r>
    </w:p>
    <w:p>
      <w:r>
        <w:t>C) Plan C</w:t>
      </w:r>
    </w:p>
    <w:p>
      <w:r>
        <w:t>D) Hospitalización directa</w:t>
      </w:r>
    </w:p>
    <w:p>
      <w:r>
        <w:rPr>
          <w:b/>
        </w:rPr>
        <w:t>Respuesta: B</w:t>
      </w:r>
    </w:p>
    <w:p>
      <w:r>
        <w:t>Explicación: Deshidratación leve-moderada: inquieto, ojos hundidos, boca seca, sed aumentada, bebe con avidez, llenado capilar ≥2s. Plan B: SRO 50-100 mL/kg en 4h. Plan C es para choque hipovolémico. Plan A es sin deshidratación.</w:t>
      </w:r>
    </w:p>
    <w:p>
      <w:r>
        <w:rPr>
          <w:b/>
        </w:rPr>
        <w:t xml:space="preserve">Sesgo que activa: </w:t>
      </w:r>
      <w:r>
        <w:t>Cierre prematuro — saltar a Plan C por "vómito" sin evaluar grado de deshidratación.</w:t>
      </w:r>
    </w:p>
    <w:p/>
    <w:p>
      <w:pPr>
        <w:pStyle w:val="Heading3"/>
      </w:pPr>
      <w:r>
        <w:t>Pregunta 2</w:t>
      </w:r>
    </w:p>
    <w:p>
      <w:r>
        <w:t>Niño de 3 años con diarrea con sangre, fiebre alta 39°C, convulsión. ¿Cuál es el agente más probable?</w:t>
      </w:r>
    </w:p>
    <w:p>
      <w:r>
        <w:t>A) Rotavirus</w:t>
      </w:r>
    </w:p>
    <w:p>
      <w:r>
        <w:t>B) Shigella</w:t>
      </w:r>
    </w:p>
    <w:p>
      <w:r>
        <w:t>C) ETEC</w:t>
      </w:r>
    </w:p>
    <w:p>
      <w:r>
        <w:t>D) Giardia</w:t>
      </w:r>
    </w:p>
    <w:p>
      <w:r>
        <w:rPr>
          <w:b/>
        </w:rPr>
        <w:t>Respuesta: B</w:t>
      </w:r>
    </w:p>
    <w:p>
      <w:r>
        <w:t>Explicación: Shigella: disentería (sangre, moco), fiebre alta, convulsiones (neurotoxina). Rotavirus: acuosa sin sangre. ETEC: acuosa del viajero. Giardia: acuosa crónica sin fiebre alta.</w:t>
      </w:r>
    </w:p>
    <w:p>
      <w:r>
        <w:rPr>
          <w:b/>
        </w:rPr>
        <w:t xml:space="preserve">Sesgo que activa: </w:t>
      </w:r>
      <w:r>
        <w:t>Disponibilidad — pensar en rotavirus por ser "más común" sin considerar sangre + convulsión = Shigella.</w:t>
      </w:r>
    </w:p>
    <w:p/>
    <w:p>
      <w:pPr>
        <w:pStyle w:val="Heading3"/>
      </w:pPr>
      <w:r>
        <w:t>Pregunta 3</w:t>
      </w:r>
    </w:p>
    <w:p>
      <w:r>
        <w:t>Lactante de 8 meses con deshidratación grave (letárgico, pulso débil, no puede beber). ¿Cuál es el manejo?</w:t>
      </w:r>
    </w:p>
    <w:p>
      <w:r>
        <w:t>A) SRO oral</w:t>
      </w:r>
    </w:p>
    <w:p>
      <w:r>
        <w:t>B) Plan B con SRO</w:t>
      </w:r>
    </w:p>
    <w:p>
      <w:r>
        <w:t>C) Ringer-Lactato IV 100 mL/kg</w:t>
      </w:r>
    </w:p>
    <w:p>
      <w:r>
        <w:t>D) Metoclopramida IV</w:t>
      </w:r>
    </w:p>
    <w:p>
      <w:r>
        <w:rPr>
          <w:b/>
        </w:rPr>
        <w:t>Respuesta: C</w:t>
      </w:r>
    </w:p>
    <w:p>
      <w:r>
        <w:t>Explicación: Deshidratación grave = Plan C. Ringer-Lactato IV 100 mL/kg: esquema GPC mexicana = 50 mL/kg primera hora, 25 mL/kg segunda hora, 25 mL/kg tercera hora. SRO oral no es viable si no puede beber.</w:t>
      </w:r>
    </w:p>
    <w:p>
      <w:r>
        <w:rPr>
          <w:b/>
        </w:rPr>
        <w:t xml:space="preserve">Sesgo que activa: </w:t>
      </w:r>
      <w:r>
        <w:t>Anclaje — pensar en SRO por ser "lo más recomendado" sin evaluar que en choque se requiere IV.</w:t>
      </w:r>
    </w:p>
    <w:p/>
    <w:p>
      <w:pPr>
        <w:pStyle w:val="Heading3"/>
      </w:pPr>
      <w:r>
        <w:t>Pregunta 4</w:t>
      </w:r>
    </w:p>
    <w:p>
      <w:r>
        <w:t>Niño de 5 años con diarrea acuosa tras viaje a México. ¿Agente más probable?</w:t>
      </w:r>
    </w:p>
    <w:p>
      <w:r>
        <w:t>A) Rotavirus</w:t>
      </w:r>
    </w:p>
    <w:p>
      <w:r>
        <w:t>B) ETEC</w:t>
      </w:r>
    </w:p>
    <w:p>
      <w:r>
        <w:t>C) Shigella</w:t>
      </w:r>
    </w:p>
    <w:p>
      <w:r>
        <w:t>D) V. cholerae</w:t>
      </w:r>
    </w:p>
    <w:p>
      <w:r>
        <w:rPr>
          <w:b/>
        </w:rPr>
        <w:t>Respuesta: B</w:t>
      </w:r>
    </w:p>
    <w:p>
      <w:r>
        <w:t>Explicación: ETEC = diarrea del viajero. Diarrea acuosa, fiebre leve. Rotavirus más común en &lt;2 años. Shigella = disentería. V. cholerae = síndrome coleriforme severo.</w:t>
      </w:r>
    </w:p>
    <w:p>
      <w:r>
        <w:rPr>
          <w:b/>
        </w:rPr>
        <w:t xml:space="preserve">Sesgo que activa: </w:t>
      </w:r>
      <w:r>
        <w:t>Disponibilidad — pensar en rotavirus por ser el "más común" sin considerar contexto de viaje.</w:t>
      </w:r>
    </w:p>
    <w:p/>
    <w:p>
      <w:pPr>
        <w:pStyle w:val="Heading3"/>
      </w:pPr>
      <w:r>
        <w:t>Pregunta 5</w:t>
      </w:r>
    </w:p>
    <w:p>
      <w:r>
        <w:t>Niño de 4 años con diarrea con sangre tras comer carne mal cocida, palidez, oliguria. ¿Cuál es la complicación a vigilar?</w:t>
      </w:r>
    </w:p>
    <w:p>
      <w:r>
        <w:t>A) Megacolon tóxico</w:t>
      </w:r>
    </w:p>
    <w:p>
      <w:r>
        <w:t>B) Síndrome hemolítico-urémico</w:t>
      </w:r>
    </w:p>
    <w:p>
      <w:r>
        <w:t>C) Perforación intestinal</w:t>
      </w:r>
    </w:p>
    <w:p>
      <w:r>
        <w:t>D) Prolapso rectal</w:t>
      </w:r>
    </w:p>
    <w:p>
      <w:r>
        <w:rPr>
          <w:b/>
        </w:rPr>
        <w:t>Respuesta: B</w:t>
      </w:r>
    </w:p>
    <w:p>
      <w:r>
        <w:t>Explicación: EHEC produce toxina Shiga → SHU (anemia hemolítica microangiopática, trombocitopenia, insuficiencia renal aguda). Carne mal cocida + sangre + oliguria = SHU. No dar antibióticos en EHEC (empeora SHU).</w:t>
      </w:r>
    </w:p>
    <w:p>
      <w:r>
        <w:rPr>
          <w:b/>
        </w:rPr>
        <w:t xml:space="preserve">Sesgo que activa: </w:t>
      </w:r>
      <w:r>
        <w:t>Cierre prematuro — pensar en complicaciones comunes (deshidratación) sin considerar SHU específica de EHEC.</w:t>
      </w:r>
    </w:p>
    <w:p/>
    <w:p>
      <w:r>
        <w:br w:type="page"/>
      </w:r>
    </w:p>
    <w:p>
      <w:pPr>
        <w:pStyle w:val="Heading1"/>
      </w:pPr>
      <w:r>
        <w:t>Tema 3: Estenosis Pilórica Hipertrófica</w:t>
      </w:r>
    </w:p>
    <w:p>
      <w:pPr>
        <w:pStyle w:val="Heading2"/>
      </w:pPr>
      <w: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t>Epidemiología</w:t>
            </w:r>
          </w:p>
        </w:tc>
        <w:tc>
          <w:tcPr>
            <w:tcW w:type="dxa" w:w="4320"/>
          </w:tcPr>
          <w:p>
            <w:r>
              <w:t>1.5-4/1000 nacidos vivos. Masculino 4-5:1. Causa más frecuente de cirugía abdominal &lt;2 meses. Causa más común de alcalosis metabólica pediátrica.</w:t>
            </w:r>
          </w:p>
        </w:tc>
      </w:tr>
      <w:tr>
        <w:tc>
          <w:tcPr>
            <w:tcW w:type="dxa" w:w="4320"/>
          </w:tcPr>
          <w:p>
            <w:r>
              <w:t>Curso temporal</w:t>
            </w:r>
          </w:p>
        </w:tc>
        <w:tc>
          <w:tcPr>
            <w:tcW w:type="dxa" w:w="4320"/>
          </w:tcPr>
          <w:p>
            <w:r>
              <w:t>2-8 semanas de vida (rango 1 sem-3 meses). Más tardía en prematuros.</w:t>
            </w:r>
          </w:p>
        </w:tc>
      </w:tr>
      <w:tr>
        <w:tc>
          <w:tcPr>
            <w:tcW w:type="dxa" w:w="4320"/>
          </w:tcPr>
          <w:p>
            <w:r>
              <w:t>Fisiopatología</w:t>
            </w:r>
          </w:p>
        </w:tc>
        <w:tc>
          <w:tcPr>
            <w:tcW w:type="dxa" w:w="4320"/>
          </w:tcPr>
          <w:p>
            <w:r>
              <w:t>Hipertrofia e hiperplasia muscular del píloro → obstrucción al vaciamiento gástrico.</w:t>
            </w:r>
          </w:p>
        </w:tc>
      </w:tr>
      <w:tr>
        <w:tc>
          <w:tcPr>
            <w:tcW w:type="dxa" w:w="4320"/>
          </w:tcPr>
          <w:p>
            <w:r>
              <w:t>Presentación clínica</w:t>
            </w:r>
          </w:p>
        </w:tc>
        <w:tc>
          <w:tcPr>
            <w:tcW w:type="dxa" w:w="4320"/>
          </w:tcPr>
          <w:p>
            <w:r>
              <w:t>Vómito no biliar, postprandial, en proyectil, progresivo. Apetito voraz → letargo. Oliva pilórica palpable (patognomónico). Peristaltismo gástrico visible.</w:t>
            </w:r>
          </w:p>
        </w:tc>
      </w:tr>
      <w:tr>
        <w:tc>
          <w:tcPr>
            <w:tcW w:type="dxa" w:w="4320"/>
          </w:tcPr>
          <w:p>
            <w:r>
              <w:t>Diagnóstico</w:t>
            </w:r>
          </w:p>
        </w:tc>
        <w:tc>
          <w:tcPr>
            <w:tcW w:type="dxa" w:w="4320"/>
          </w:tcPr>
          <w:p>
            <w:r>
              <w:t>Ultrasonido (1a elección): sensibilidad 98%, especificidad 100%. Diámetro &gt;15-18 mm, espesor &gt;3-4 mm, longitud &gt;17 mm. Serie EGD (2a elección). Endoscopia (3a elección). Si se palpa oliva, no se necesita estudio.</w:t>
            </w:r>
          </w:p>
        </w:tc>
      </w:tr>
      <w:tr>
        <w:tc>
          <w:tcPr>
            <w:tcW w:type="dxa" w:w="4320"/>
          </w:tcPr>
          <w:p>
            <w:r>
              <w:t>Tratamiento</w:t>
            </w:r>
          </w:p>
        </w:tc>
        <w:tc>
          <w:tcPr>
            <w:tcW w:type="dxa" w:w="4320"/>
          </w:tcPr>
          <w:p>
            <w:r>
              <w:t>Reposición hidroelectrolítica prequirúrgica (corregir alcalosis). Piloromiotomía de Fredet-Ramstedt (laparoscópica). Analgesia: paracetamol.</w:t>
            </w:r>
          </w:p>
        </w:tc>
      </w:tr>
      <w:tr>
        <w:tc>
          <w:tcPr>
            <w:tcW w:type="dxa" w:w="4320"/>
          </w:tcPr>
          <w:p>
            <w:r>
              <w:t>Diagnósticos diferenciales</w:t>
            </w:r>
          </w:p>
        </w:tc>
        <w:tc>
          <w:tcPr>
            <w:tcW w:type="dxa" w:w="4320"/>
          </w:tcPr>
          <w:p>
            <w:r>
              <w:t>RGE, espasmo pilórico, hernia hiatal, vólvulo gástrico, duplicación gástrica.</w:t>
            </w:r>
          </w:p>
        </w:tc>
      </w:tr>
    </w:tbl>
    <w:p>
      <w:pPr>
        <w:pStyle w:val="Heading3"/>
      </w:pPr>
      <w:r>
        <w:t>Datos clave para examen</w:t>
      </w:r>
    </w:p>
    <w:p>
      <w:r>
        <w:t>• Factores de riesgo: sexo masculino, primogenitura, hemotipos B y O, eritromicina en primeras 2 semanas.</w:t>
      </w:r>
    </w:p>
    <w:p>
      <w:r>
        <w:t>• Alcalosis metabólica hipoclorémica e hipocalémica.</w:t>
      </w:r>
    </w:p>
    <w:p>
      <w:r>
        <w:t>• Si se palpa la oliva pilórica, NO se necesita ningún estudio de gabinete.</w:t>
      </w:r>
    </w:p>
    <w:p>
      <w:pPr>
        <w:pStyle w:val="Heading2"/>
      </w:pPr>
      <w:r>
        <w:t>Preguntas tipo ENARM</w:t>
      </w:r>
    </w:p>
    <w:p>
      <w:r>
        <w:rPr>
          <w:b/>
        </w:rPr>
        <w:t>ANTES de ver la respuesta, explica en voz alta por qué elegiste esa opción.</w:t>
      </w:r>
    </w:p>
    <w:p>
      <w:pPr>
        <w:pStyle w:val="Heading3"/>
      </w:pPr>
      <w:r>
        <w:t>Pregunta 1</w:t>
      </w:r>
    </w:p>
    <w:p>
      <w:r>
        <w:t>Lactante masculino de 4 semanas, primogénito, vómito postprandial en proyectil no biliar progresivo 3 días. Hambre después de vomitar. Masa en epigastrio. ¿Diagnóstico?</w:t>
      </w:r>
    </w:p>
    <w:p>
      <w:r>
        <w:t>A) Reflujo gastroesofágico</w:t>
      </w:r>
    </w:p>
    <w:p>
      <w:r>
        <w:t>B) Estenosis pilórica hipertrófica</w:t>
      </w:r>
    </w:p>
    <w:p>
      <w:r>
        <w:t>C) Espasmo pilórico</w:t>
      </w:r>
    </w:p>
    <w:p>
      <w:r>
        <w:t>D) Atresia duodenal</w:t>
      </w:r>
    </w:p>
    <w:p>
      <w:r>
        <w:rPr>
          <w:b/>
        </w:rPr>
        <w:t>Respuesta: B</w:t>
      </w:r>
    </w:p>
    <w:p>
      <w:r>
        <w:t>Explicación: Masculino 4 semanas (2-8 sem), vómito proyectil no biliar, apetito voraz, oliva pilórica palpable = patognomónico. RGE: no proyectil, sin masa. Atresia duodenal: vómito biliar primeras 24-48h.</w:t>
      </w:r>
    </w:p>
    <w:p>
      <w:r>
        <w:rPr>
          <w:b/>
        </w:rPr>
        <w:t xml:space="preserve">Sesgo que activa: </w:t>
      </w:r>
      <w:r>
        <w:t>Anclaje — pensar en RGE por vómito sin considerar proyectil y masa palpable.</w:t>
      </w:r>
    </w:p>
    <w:p/>
    <w:p>
      <w:pPr>
        <w:pStyle w:val="Heading3"/>
      </w:pPr>
      <w:r>
        <w:t>Pregunta 2</w:t>
      </w:r>
    </w:p>
    <w:p>
      <w:r>
        <w:t>Lactante 5 semanas, sospecha estenosis pilórica. ¿Estudio de elección?</w:t>
      </w:r>
    </w:p>
    <w:p>
      <w:r>
        <w:t>A) Serie esofagogastroduodenal</w:t>
      </w:r>
    </w:p>
    <w:p>
      <w:r>
        <w:t>B) Ultrasonido abdominal</w:t>
      </w:r>
    </w:p>
    <w:p>
      <w:r>
        <w:t>C) Endoscopia</w:t>
      </w:r>
    </w:p>
    <w:p>
      <w:r>
        <w:t>D) Tomografía</w:t>
      </w:r>
    </w:p>
    <w:p>
      <w:r>
        <w:rPr>
          <w:b/>
        </w:rPr>
        <w:t>Respuesta: B</w:t>
      </w:r>
    </w:p>
    <w:p>
      <w:r>
        <w:t>Explicación: Ultrasonido: sensibilidad 98%, especificidad 100%. Diámetro &gt;15-18 mm, espesor &gt;3-4 mm, longitud &gt;17 mm. Serie EGD es segunda elección.</w:t>
      </w:r>
    </w:p>
    <w:p>
      <w:r>
        <w:rPr>
          <w:b/>
        </w:rPr>
        <w:t xml:space="preserve">Sesgo que activa: </w:t>
      </w:r>
      <w:r>
        <w:t>Disponibilidad — pensar en serie EGD por tradición gastrointestinal.</w:t>
      </w:r>
    </w:p>
    <w:p/>
    <w:p>
      <w:pPr>
        <w:pStyle w:val="Heading3"/>
      </w:pPr>
      <w:r>
        <w:t>Pregunta 3</w:t>
      </w:r>
    </w:p>
    <w:p>
      <w:r>
        <w:t>Lactante 6 semanas, vómito proyectil 5 días. pH 7.50, HCO3 36, Cl 88, K 2.9. ¿Trastorno ácido-base?</w:t>
      </w:r>
    </w:p>
    <w:p>
      <w:r>
        <w:t>A) Acidosis metabólica</w:t>
      </w:r>
    </w:p>
    <w:p>
      <w:r>
        <w:t>B) Alcalosis metabólica hipoclorémica e hipocalémica</w:t>
      </w:r>
    </w:p>
    <w:p>
      <w:r>
        <w:t>C) Alcalosis respiratoria</w:t>
      </w:r>
    </w:p>
    <w:p>
      <w:r>
        <w:t>D) Acidosis compensada</w:t>
      </w:r>
    </w:p>
    <w:p>
      <w:r>
        <w:rPr>
          <w:b/>
        </w:rPr>
        <w:t>Respuesta: B</w:t>
      </w:r>
    </w:p>
    <w:p>
      <w:r>
        <w:t>Explicación: pH 7.50 = alcalosis. HCO3 36 = metabólica. Cl 88 + K 2.9 = hipoclorémica e hipocalémica. Causa más común de alcalosis metabólica pediátrica.</w:t>
      </w:r>
    </w:p>
    <w:p>
      <w:r>
        <w:rPr>
          <w:b/>
        </w:rPr>
        <w:t xml:space="preserve">Sesgo que activa: </w:t>
      </w:r>
      <w:r>
        <w:t>Cierre prematuro — saltar a acidosis por vómito sin analizar gasometría.</w:t>
      </w:r>
    </w:p>
    <w:p/>
    <w:p>
      <w:pPr>
        <w:pStyle w:val="Heading3"/>
      </w:pPr>
      <w:r>
        <w:t>Pregunta 4</w:t>
      </w:r>
    </w:p>
    <w:p>
      <w:r>
        <w:t>Lactante 3 semanas, estenosis pilórica confirmada. ¿Tratamiento definitivo?</w:t>
      </w:r>
    </w:p>
    <w:p>
      <w:r>
        <w:t>A) Anticolinérgicos</w:t>
      </w:r>
    </w:p>
    <w:p>
      <w:r>
        <w:t>B) Dilatación endoscópica</w:t>
      </w:r>
    </w:p>
    <w:p>
      <w:r>
        <w:t>C) Piloromiotomía de Fredet-Ramstedt</w:t>
      </w:r>
    </w:p>
    <w:p>
      <w:r>
        <w:t>D) Procinéticos</w:t>
      </w:r>
    </w:p>
    <w:p>
      <w:r>
        <w:rPr>
          <w:b/>
        </w:rPr>
        <w:t>Respuesta: C</w:t>
      </w:r>
    </w:p>
    <w:p>
      <w:r>
        <w:t>Explicación: Piloromiotomía Fredet-Ramstedt laparoscópica. Previamente corregir alcalosis metabólica. Anticolinérgicos, procinéticos y dilatación no son tratamiento.</w:t>
      </w:r>
    </w:p>
    <w:p>
      <w:r>
        <w:rPr>
          <w:b/>
        </w:rPr>
        <w:t xml:space="preserve">Sesgo que activa: </w:t>
      </w:r>
      <w:r>
        <w:t>Disponibilidad — pensar en manejo médico por analogía con otros trastornos.</w:t>
      </w:r>
    </w:p>
    <w:p/>
    <w:p>
      <w:pPr>
        <w:pStyle w:val="Heading3"/>
      </w:pPr>
      <w:r>
        <w:t>Pregunta 5</w:t>
      </w:r>
    </w:p>
    <w:p>
      <w:r>
        <w:t>¿Factor de riesgo para estenosis pilórica hipertrófica?</w:t>
      </w:r>
    </w:p>
    <w:p>
      <w:r>
        <w:t>A) Eritromicina primeras 2 semanas de vida</w:t>
      </w:r>
    </w:p>
    <w:p>
      <w:r>
        <w:t>B) Lactancia materna exclusiva</w:t>
      </w:r>
    </w:p>
    <w:p>
      <w:r>
        <w:t>C) Parto por cesárea</w:t>
      </w:r>
    </w:p>
    <w:p>
      <w:r>
        <w:t>D) Vacunación BCG</w:t>
      </w:r>
    </w:p>
    <w:p>
      <w:r>
        <w:rPr>
          <w:b/>
        </w:rPr>
        <w:t>Respuesta: A</w:t>
      </w:r>
    </w:p>
    <w:p>
      <w:r>
        <w:t>Explicación: Eritromicina primeras 2 semanas es factor de riesgo documentado. También: masculino, primogenitura, hemotipos B y O, macrólidos en embarazo.</w:t>
      </w:r>
    </w:p>
    <w:p>
      <w:r>
        <w:rPr>
          <w:b/>
        </w:rPr>
        <w:t xml:space="preserve">Sesgo que activa: </w:t>
      </w:r>
      <w:r>
        <w:t>Prevalencia base — descartar eritromicina sin conocer asociación específica.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