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Examen 4 - Mixto (50%, 5/10)</w:t>
      </w:r>
    </w:p>
    <w:p>
      <w:r>
        <w:t>ENARM Master · ID dDXXsxiwS4Q8iTm7P · Transcripción: pregunta, respuesta correcta y porqué (sin bibliografía).</w:t>
      </w:r>
    </w:p>
    <w:p>
      <w:pPr>
        <w:pStyle w:val="Heading2"/>
      </w:pPr>
      <w:r>
        <w:t>Caso</w:t>
      </w:r>
    </w:p>
    <w:p>
      <w:r>
        <w:t>Durante su año como médico pasante, acude a su consulta una paciente de 26 años de edad conocida con DM1 diagnosticada a los 15 años tras un evento de cetoacidosis diabética, actualmente recibiendo esquema de insulina mediante basal-bolo con insulina de acción prolongada refiere aplicarse 16 UI de insulina glargina y de 3 a 4 UI de insulina de acción rápida, refiere que tiene cerca de 8 semanas de amenorrea por FUM además de no ser usuaria de métodos de planificación familiar, en la valoración inicial la paciente presenta datos de retinopatía diabética ya que usted identifica microaneurismas r</w:t>
      </w:r>
    </w:p>
    <w:p>
      <w:pPr>
        <w:pStyle w:val="Heading3"/>
      </w:pPr>
      <w:r>
        <w:t>1. ¿Cuál sería la acción a realizar en la paciente?</w:t>
      </w:r>
    </w:p>
    <w:p>
      <w:r>
        <w:rPr>
          <w:b/>
        </w:rPr>
        <w:t xml:space="preserve">Respuesta correcta: </w:t>
      </w:r>
      <w:r>
        <w:t>Referir al siguiente nivel a hospitalización</w:t>
      </w:r>
    </w:p>
    <w:p>
      <w:r>
        <w:rPr>
          <w:b/>
        </w:rPr>
        <w:t xml:space="preserve">Porqué: </w:t>
      </w:r>
      <w:r>
        <w:t>Los criterios de hospitalización son en la mujer con embarazo y diabetes que presente: - Glucemia en ayuno mayor a 140 mg/dl y/o postprandial a la hora, mayor o igual a 180 mg/dl - Sospecha de desarrollo de complicaciones médicas materno-fetales no obstétricas con cifras de glucosa en ayunas o postprandial descontroladas (cetoacidosis diabética, estado hiperosmolar) - Hipoglucemia en ayuno (&lt;60 mg/dl) con o sin datos de neuroglucopenia - Inestabilidad metabólica manifestada por episodios de hipoglucemia (&lt;60 mg/dl) seguidos de hiperglucemia postprandial (&gt;300 mg/dl)</w:t>
      </w:r>
    </w:p>
    <w:p>
      <w:pPr>
        <w:pStyle w:val="Heading3"/>
      </w:pPr>
      <w:r>
        <w:t>2. ¿Cuál es la dosis de ácido fólico a iniciar en la paciente?</w:t>
      </w:r>
    </w:p>
    <w:p>
      <w:r>
        <w:rPr>
          <w:b/>
        </w:rPr>
        <w:t xml:space="preserve">Respuesta correcta: </w:t>
      </w:r>
      <w:r>
        <w:t>5 mg</w:t>
      </w:r>
    </w:p>
    <w:p>
      <w:r>
        <w:rPr>
          <w:b/>
        </w:rPr>
        <w:t xml:space="preserve">Porqué: </w:t>
      </w:r>
      <w:r>
        <w:t>Las embarazadas con diabetes muestran mayor incidencia de malformaciones fetales, siendo las más frecuentes las cardiovasculares y del tubo neural, siendo mayor el riesgo en pacientes con descontrol metabólico, por lo que se debe considerar la dosis de ácido fólico de 5 mg en lugar de 0.4 mg.</w:t>
      </w:r>
    </w:p>
    <w:p>
      <w:pPr>
        <w:pStyle w:val="Heading2"/>
      </w:pPr>
      <w:r>
        <w:t>Caso</w:t>
      </w:r>
    </w:p>
    <w:p>
      <w:r>
        <w:t xml:space="preserve">Laura, mujer de 25 años, acude a consulta por presentar dolor mamario bilateral de intensidad EVA 8/10, que se exacerba de forma recurrente entre dos y tres días previos al inicio de la menstruación y mejora al comenzar el sangrado. Refiere la presencia de nódulos palpables (“bolitas”) en ambas mamas durante estos episodios. Como antecedentes relevantes, menciona cáncer de mama en tía paterna y uso de anticonceptivos orales combinados desde hace dos años. Niega enfermedades de transmisión sexual y otras patologías asociadas. A la exploración física se observan mamas turgentes, simétricas, sin </w:t>
      </w:r>
    </w:p>
    <w:p>
      <w:pPr>
        <w:pStyle w:val="Heading3"/>
      </w:pPr>
      <w:r>
        <w:t>3. ¿Corresponde a la primera línea de tratamiento para la mastalgia cíclica severa?</w:t>
      </w:r>
    </w:p>
    <w:p>
      <w:r>
        <w:rPr>
          <w:b/>
        </w:rPr>
        <w:t xml:space="preserve">Respuesta correcta: </w:t>
      </w:r>
      <w:r>
        <w:t>Linaza 25 g</w:t>
      </w:r>
    </w:p>
    <w:p>
      <w:r>
        <w:rPr>
          <w:b/>
        </w:rPr>
        <w:t xml:space="preserve">Porqué: </w:t>
      </w:r>
      <w:r>
        <w:t>El uso de 25 g de linaza en la dieta diaria de la mujer es considerado como primera línea de tratamiento para la mastalgia cíclica severa.</w:t>
      </w:r>
    </w:p>
    <w:p>
      <w:pPr>
        <w:pStyle w:val="Heading3"/>
      </w:pPr>
      <w:r>
        <w:t>4. ¿Cuál es el tratamiento de segunda línea para la mastalgia?</w:t>
      </w:r>
    </w:p>
    <w:p>
      <w:r>
        <w:rPr>
          <w:b/>
        </w:rPr>
        <w:t xml:space="preserve">Respuesta correcta: </w:t>
      </w:r>
      <w:r>
        <w:t>Tamoxifeno</w:t>
      </w:r>
    </w:p>
    <w:p>
      <w:r>
        <w:rPr>
          <w:b/>
        </w:rPr>
        <w:t xml:space="preserve">Porqué: </w:t>
      </w:r>
      <w:r>
        <w:t>El tamoxifeno 10 mg diarios o el danazol 200 mg diarios por 3 a 6 ciclos, pueden ser considerados cuando los tratamientos de primera línea no sean efectivos; para minimizar los efectos secundarios del danazol, se sugiere emplearse en la segunda fase del ciclo menstrual. La mastectomía parcial o completa no ha sido considerada como un tratamiento efectivo en la mastalgia.</w:t>
      </w:r>
    </w:p>
    <w:p>
      <w:pPr>
        <w:pStyle w:val="Heading3"/>
      </w:pPr>
      <w:r>
        <w:t>5. ¿Cuántos días de incapacidad se deben otorgar a la paciente?</w:t>
      </w:r>
    </w:p>
    <w:p>
      <w:r>
        <w:rPr>
          <w:b/>
        </w:rPr>
        <w:t xml:space="preserve">Respuesta correcta: </w:t>
      </w:r>
      <w:r>
        <w:t>Ninguno</w:t>
      </w:r>
    </w:p>
    <w:p>
      <w:r>
        <w:rPr>
          <w:b/>
        </w:rPr>
        <w:t xml:space="preserve">Porqué: </w:t>
      </w:r>
      <w:r>
        <w:t>Pacientes con mastalgia, nodularidad, descarga por el pezón y/o fibroadenoma no quirúrgico; no ameritan incapacidad.</w:t>
      </w:r>
    </w:p>
    <w:p>
      <w:pPr>
        <w:pStyle w:val="Heading2"/>
      </w:pPr>
      <w:r>
        <w:t>Caso</w:t>
      </w:r>
    </w:p>
    <w:p>
      <w:r>
        <w:t>A 15-year-old young man presents to his local clinic at CDMX for evaluation of lesions on the abdomen. The lesions were fluid-filled sacs that eventually burst, leaving behind yellow, crusted areas of inflammation. The patient is otherwise healthy and does not take any medications. He has not traveled in the past 6 months and has no pets at home. Temperature is 37.7°C, blood pressure is 120/75 mmHg, and pulse is 65/min.</w:t>
      </w:r>
    </w:p>
    <w:p>
      <w:pPr>
        <w:pStyle w:val="Heading3"/>
      </w:pPr>
      <w:r>
        <w:t>6. Which of the following pathogenic factors is most likely responsible for this patient’s clinical presentation?</w:t>
      </w:r>
    </w:p>
    <w:p>
      <w:r>
        <w:rPr>
          <w:b/>
        </w:rPr>
        <w:t xml:space="preserve">Respuesta correcta: </w:t>
      </w:r>
      <w:r>
        <w:t>Exfoliative toxin A</w:t>
      </w:r>
    </w:p>
    <w:p>
      <w:r>
        <w:rPr>
          <w:b/>
        </w:rPr>
        <w:t xml:space="preserve">Porqué: </w:t>
      </w:r>
      <w:r>
        <w:t>Los hallazgos son consistentes con impétigo bulloso, que es causado más comúnmente por cepas de Staphylococcus aureus que secretan la toxina exfoliativa A. El impétigo es una infección bacteriana superficial contagiosa que se manifiesta en la cara, el tronco y las extremidades con lesiones que evolucionan desde pápulas hasta vesículas/ampollas y luego forman costras. El impétigo se divide en formas bullosas y no bullosas.</w:t>
      </w:r>
    </w:p>
    <w:p>
      <w:pPr>
        <w:pStyle w:val="Heading3"/>
      </w:pPr>
      <w:r>
        <w:t>7. What bacteria is most likely causing the disease?</w:t>
      </w:r>
    </w:p>
    <w:p>
      <w:r>
        <w:rPr>
          <w:b/>
        </w:rPr>
        <w:t xml:space="preserve">Respuesta correcta: </w:t>
      </w:r>
      <w:r>
        <w:t>Staphylococcus aureus</w:t>
      </w:r>
    </w:p>
    <w:p>
      <w:r>
        <w:rPr>
          <w:b/>
        </w:rPr>
        <w:t xml:space="preserve">Porqué: </w:t>
      </w:r>
      <w:r>
        <w:t>El impétigo no bulloso es la forma más común y es causado por Staphylococcus aureus o Streptococcus pyogenes. Clínicamente, se caracteriza por pápulas que evolucionan a vesículas rodeadas de eritema, que posteriormente se rompen para formar costras gruesas y adherentes con un aspecto dorado característico. Afecta más comúnmente la cara y las extremidades. Por otro lado, el impétigo bulloso es menos común y casi siempre se debe a la infección con cepas de Staphylococcus aureus que portan la toxina exfoliativa A. Esta toxina ataca al desmogleína, lo que resulta en la pérdida de adhesión a lo largo de la epidermis superficial. Clínicamente, la toxina exfoliativa A lleva a la formación de grandes ampollas que eventualmente estallan y dejan una lesión con costra dorada. El impétigo bulloso se encuentra casi siempre en el tronco.</w:t>
      </w:r>
    </w:p>
    <w:p>
      <w:pPr>
        <w:pStyle w:val="Heading2"/>
      </w:pPr>
      <w:r>
        <w:t>Caso</w:t>
      </w:r>
    </w:p>
    <w:p>
      <w:r>
        <w:t>Paciente masculino de 45 años de edad procedente de la Sierra de Guerrero, bebedor excesivo y fumador, quien hace 28 días sufrió una caída de un caballo en su rancho, lo que ocasionó fractura de rótula izquierda e inmovilización del miembro afectado. Acude al servicio de urgencias por presentar disnea súbita que se intensifica ante esfuerzos físicos y dolor torácico en hemitórax izquierdo el cual genera polipnea marcada, palidez de tegumentos y diaforesis profusa. Resultados de laboratorios: hemoglobina: 138g/L; hematocrito 0.39%; glucosa 66, PH: 7,45, PCO2 25, SO2: 97 %; electrocardiograma: t</w:t>
      </w:r>
    </w:p>
    <w:p>
      <w:pPr>
        <w:pStyle w:val="Heading3"/>
      </w:pPr>
      <w:r>
        <w:t>8. ¿Cuál es tu diagnóstico de sospecha?</w:t>
      </w:r>
    </w:p>
    <w:p>
      <w:r>
        <w:rPr>
          <w:b/>
        </w:rPr>
        <w:t xml:space="preserve">Respuesta correcta: </w:t>
      </w:r>
      <w:r>
        <w:t>Tromboembolia pulmonar</w:t>
      </w:r>
    </w:p>
    <w:p>
      <w:r>
        <w:rPr>
          <w:b/>
        </w:rPr>
        <w:t xml:space="preserve">Porqué: </w:t>
      </w:r>
      <w:r>
        <w:t>Se trata de un caso típico de Tromboembolismo pulmonar, el dato clave e inicial en esta patológica es la disnea súbita acompañada de la desaturación. En el ECG lo más frecuente es la taquicardia sinusal, pero el dato más específico es el complejo de McGinn-White o patrón S1Q3T3 (onda S en I, onda Q en III y onda T negativa en III); el síndrome de vena cava superior se caracteriza por presentar parestesias y cambios de coloración, ingurgitación yugular marcada en extremidades superiores, pero no se acompaña de disnea súbita. La disección aórtica comienza con un dolor precordial en cinturón en hemitórax posterior acompañado de otros síntomas similares al IAM.</w:t>
      </w:r>
    </w:p>
    <w:p>
      <w:pPr>
        <w:pStyle w:val="Heading3"/>
      </w:pPr>
      <w:r>
        <w:t>9. El paciente tiene una escala de Wells &lt;4 por lo cual:</w:t>
      </w:r>
    </w:p>
    <w:p>
      <w:r>
        <w:rPr>
          <w:b/>
        </w:rPr>
        <w:t xml:space="preserve">Respuesta correcta: </w:t>
      </w:r>
      <w:r>
        <w:t>El diagnóstico es poco probable, solicitar Dímero D</w:t>
      </w:r>
    </w:p>
    <w:p>
      <w:r>
        <w:rPr>
          <w:b/>
        </w:rPr>
        <w:t xml:space="preserve">Porqué: </w:t>
      </w:r>
      <w:r>
        <w:t>En base a la escala de Wells: si tiene &lt;4 puntos: el diagnóstico es poco probable y lo primero que debemos hacer es solicitar un Dímero D, si es negativo descartamos el diagnóstico. Si es positivo solicitamos un USG Doppler. Si la escala de Wells es &gt;4 puntos: el diagnóstico es probable realizamos una Angio-Tac helicoidal pulmonar.</w:t>
      </w:r>
    </w:p>
    <w:p>
      <w:pPr>
        <w:pStyle w:val="Heading2"/>
      </w:pPr>
      <w:r>
        <w:t>Caso</w:t>
      </w:r>
    </w:p>
    <w:p>
      <w:r>
        <w:t xml:space="preserve">A 34-year-old woman, gravida 4, para 4, presents to the clinic for her six-week postpartum visit and requests sterilization. She is currently using the progesterone-only pill for contraception. Past medical history is notable for four uncomplicated spontaneous vaginal deliveries. She has no history of gynecologic abnormalities or prior surgery. Her family history is notable for ovarian cancer in her mother, diagnosed at age 65. BMI is 26 kg/m2 and the physical exam is unremarkable, with the uterus fully involuted. Comprehensive counseling is provided regarding permanent sterilization, and the </w:t>
      </w:r>
    </w:p>
    <w:p>
      <w:pPr>
        <w:pStyle w:val="Heading3"/>
      </w:pPr>
      <w:r>
        <w:t>10. Which of the following would be the best procedure/technique to recommend for this patient?</w:t>
      </w:r>
    </w:p>
    <w:p>
      <w:r>
        <w:rPr>
          <w:b/>
        </w:rPr>
        <w:t xml:space="preserve">Respuesta correcta: </w:t>
      </w:r>
      <w:r>
        <w:t>Laparoscopic complete bilateral salpingectomy</w:t>
      </w:r>
    </w:p>
    <w:p>
      <w:r>
        <w:rPr>
          <w:b/>
        </w:rPr>
        <w:t xml:space="preserve">Porqué: </w:t>
      </w:r>
      <w:r>
        <w:t>Una vez que la paciente y el profesional sanitario deciden proceder con la esterilización, es importante elegir la mejor técnica para optimizar el resultado de la paciente. Las pacientes que tienen al menos seis semanas de posparto generalmente deben someterse a una salpingectomía bilateral completa laparoscópica. Este método es el preferido porque tiene la menor tasa de fracaso y reduce el riesgo de desarrollar cáncer de ovario en el futuro. Por estas razones, se está convirtiendo en el procedimiento de esterilización de elección. El primer paso para elegir una técnica de esterilización permanente es determinar el abordaje quirúrgico general (es decir, abierto o laparoscópico). Otros factores de la paciente y las preferencias del cirujano pueden guiar el uso de técnicas específicas. Los procedimientos posparto se realizan en el momento de la cesárea mediante laparotomía o después del parto vaginal mediante una minilaparotomía en el ombligo, mientras que los procedimientos de intervalo generalmente se realizan por laparoscopia al menos seis semanas después del parto.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ENARM Master — registro personal de estudio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erpoDoc">
    <w:name w:val="CuerpoDoc"/>
    <w:basedOn w:val="Normal"/>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