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Examen 8 - Mixto (32%, 16/50)</w:t>
      </w:r>
    </w:p>
    <w:p>
      <w:r>
        <w:t>ENARM Master · ID KuMZKR7QLSogMCE9E · Transcripción: pregunta, respuesta correcta y porqué (sin bibliografía).</w:t>
      </w:r>
    </w:p>
    <w:p>
      <w:pPr>
        <w:pStyle w:val="Heading2"/>
      </w:pPr>
      <w:r>
        <w:t>Caso</w:t>
      </w:r>
    </w:p>
    <w:p>
      <w:r>
        <w:t>Se encuentra preparando una clase sobre esquema de vacunación durante su servicio social y su profesor le hace las siguientes preguntas:</w:t>
      </w:r>
    </w:p>
    <w:p>
      <w:pPr>
        <w:pStyle w:val="Heading3"/>
      </w:pPr>
      <w:r>
        <w:t>1. ¿Cuándo se debe aplicar la primera dosis de la vacuna SRP?</w:t>
      </w:r>
    </w:p>
    <w:p>
      <w:r>
        <w:rPr>
          <w:b/>
        </w:rPr>
        <w:t xml:space="preserve">Respuesta correcta: </w:t>
      </w:r>
      <w:r>
        <w:t>A los 12 meses</w:t>
      </w:r>
    </w:p>
    <w:p>
      <w:r>
        <w:rPr>
          <w:b/>
        </w:rPr>
        <w:t xml:space="preserve">Porqué: </w:t>
      </w:r>
      <w:r>
        <w:t>La vacuna SRP (sarampión, rubéola y parotiditis) se debe aplicar en una primera dosis al año de vida y en una segunda dosis a los 6 años de vida.</w:t>
      </w:r>
    </w:p>
    <w:p>
      <w:pPr>
        <w:pStyle w:val="Heading3"/>
      </w:pPr>
      <w:r>
        <w:t>2. ¿Cuando se aplica el refuerzo (tercera dosis) de la vacuna neumocócica conjugada?</w:t>
      </w:r>
    </w:p>
    <w:p>
      <w:r>
        <w:rPr>
          <w:b/>
        </w:rPr>
        <w:t xml:space="preserve">Respuesta correcta: </w:t>
      </w:r>
      <w:r>
        <w:t>12 meses</w:t>
      </w:r>
    </w:p>
    <w:p>
      <w:r>
        <w:rPr>
          <w:b/>
        </w:rPr>
        <w:t xml:space="preserve">Porqué: </w:t>
      </w:r>
      <w:r>
        <w:t>La vacuna neumocócica conjugada se aplica en 3 dosis. La primera dosis se aplica a los 2 meses, la segunda a los 4 meses y la tercera a los 12 meses.</w:t>
      </w:r>
    </w:p>
    <w:p>
      <w:pPr>
        <w:pStyle w:val="Heading2"/>
      </w:pPr>
      <w:r>
        <w:t>Caso</w:t>
      </w:r>
    </w:p>
    <w:p>
      <w:r>
        <w:t>Mujer de 62 años con antecedente de Diabetes mellitus en tratamiento con metformina 850 mg cada 8 hrs y Enfermedad renal crónica KDIGO G4 en tratamiento nutricional, que acude a consulta de seguimiento, últimos estudios de laboratorio con HbA1C 7.5</w:t>
      </w:r>
    </w:p>
    <w:p>
      <w:pPr>
        <w:pStyle w:val="Heading3"/>
      </w:pPr>
      <w:r>
        <w:t>3. ¿Cuál es la meta de control de hemoglobina A1C para pacientes diabéticos?</w:t>
      </w:r>
    </w:p>
    <w:p>
      <w:r>
        <w:rPr>
          <w:b/>
        </w:rPr>
        <w:t xml:space="preserve">Respuesta correcta: </w:t>
      </w:r>
      <w:r>
        <w:t>&lt;7</w:t>
      </w:r>
    </w:p>
    <w:p>
      <w:r>
        <w:rPr>
          <w:b/>
        </w:rPr>
        <w:t xml:space="preserve">Porqué: </w:t>
      </w:r>
      <w:r>
        <w:t>Se recomienda considerar de forma general una meta de hemoglobina glucosilada &lt;7 en pacientes diabéticos</w:t>
      </w:r>
    </w:p>
    <w:p>
      <w:pPr>
        <w:pStyle w:val="Heading3"/>
      </w:pPr>
      <w:r>
        <w:t>4. ¿Qué otro farmaco añadiria para el control del paciente?</w:t>
      </w:r>
    </w:p>
    <w:p>
      <w:r>
        <w:rPr>
          <w:b/>
        </w:rPr>
        <w:t xml:space="preserve">Respuesta correcta: </w:t>
      </w:r>
      <w:r>
        <w:t>Sitagliptina</w:t>
      </w:r>
    </w:p>
    <w:p>
      <w:r>
        <w:rPr>
          <w:b/>
        </w:rPr>
        <w:t xml:space="preserve">Porqué: </w:t>
      </w:r>
      <w:r>
        <w:t>Los iDPP-4 se recomiendan en la persona mayor con diabetes e insuficiencia renal crónica con y sin tratamiento sustitutivo. Se deben ajustar de acuerdo a la TFG. Sitagliptina, vildagliptina alogliptina y saxagliptina deberán ajustarse la dosis a un 50% cuando la TFG sea 30-45 mL/min/1.73m2 y al 25% de la dosis cuando la TFG sea &lt;30 mL/min/1.73m2 Linagliptina no requiere ajuste por deterioro de la TFG.</w:t>
      </w:r>
    </w:p>
    <w:p>
      <w:pPr>
        <w:pStyle w:val="Heading2"/>
      </w:pPr>
      <w:r>
        <w:t>Caso</w:t>
      </w:r>
    </w:p>
    <w:p>
      <w:r>
        <w:t>Respecto al control del niño sano responda lo siguiente</w:t>
      </w:r>
    </w:p>
    <w:p>
      <w:pPr>
        <w:pStyle w:val="Heading3"/>
      </w:pPr>
      <w:r>
        <w:t>5. Es un signo de alarma de crecimiento y desarrollo neurológico</w:t>
      </w:r>
    </w:p>
    <w:p>
      <w:r>
        <w:rPr>
          <w:b/>
        </w:rPr>
        <w:t xml:space="preserve">Respuesta correcta: </w:t>
      </w:r>
      <w:r>
        <w:t>Macrocefalia</w:t>
      </w:r>
    </w:p>
    <w:p>
      <w:r>
        <w:rPr>
          <w:b/>
        </w:rPr>
        <w:t xml:space="preserve">Porqué: </w:t>
      </w:r>
      <w:r>
        <w:t>Los signos que alertan alteración en el desarrollo neurológico son macrocefalia, microcefalia, hipotonía, arreflexia, y movimientos oculares anormales. No se ha relacionado la falta de gateo con problemas neurológicos o adaptativos de ningún tipo, aunque está demostrado que gatear favorece la independencia para desplazarse, control de movimientos y desarrollo de sentido tactil.</w:t>
      </w:r>
    </w:p>
    <w:p>
      <w:pPr>
        <w:pStyle w:val="Heading3"/>
      </w:pPr>
      <w:r>
        <w:t>6. Test ideal para valorar desarrollo neurológico</w:t>
      </w:r>
    </w:p>
    <w:p>
      <w:r>
        <w:rPr>
          <w:b/>
        </w:rPr>
        <w:t xml:space="preserve">Respuesta correcta: </w:t>
      </w:r>
      <w:r>
        <w:t>Prueba de Denver modificada</w:t>
      </w:r>
    </w:p>
    <w:p>
      <w:r>
        <w:rPr>
          <w:b/>
        </w:rPr>
        <w:t xml:space="preserve">Porqué: </w:t>
      </w:r>
      <w:r>
        <w:t>La escala de Denver es la escala validada para evaluar desarrollo neurológico.</w:t>
      </w:r>
    </w:p>
    <w:p>
      <w:pPr>
        <w:pStyle w:val="Heading3"/>
      </w:pPr>
      <w:r>
        <w:t>7. Utilizando el IMC, se define como obesidad:</w:t>
      </w:r>
    </w:p>
    <w:p>
      <w:r>
        <w:rPr>
          <w:b/>
        </w:rPr>
        <w:t xml:space="preserve">Respuesta correcta: </w:t>
      </w:r>
      <w:r>
        <w:t>IMC para su edad arriba de percentil 95</w:t>
      </w:r>
    </w:p>
    <w:p>
      <w:r>
        <w:rPr>
          <w:b/>
        </w:rPr>
        <w:t xml:space="preserve">Porqué: </w:t>
      </w:r>
      <w:r>
        <w:t>Sobrepeso cuando el valor del IMC es igual o mayor a la percentila a 85 a 95 Obesidad cuando el valor es mayor de la percentila 95 Obesidad grave cuando el valor es igual o por arriba de la percentila 97</w:t>
      </w:r>
    </w:p>
    <w:p>
      <w:pPr>
        <w:pStyle w:val="Heading2"/>
      </w:pPr>
      <w:r>
        <w:t>Caso</w:t>
      </w:r>
    </w:p>
    <w:p>
      <w:r>
        <w:t>Femenina de 54 años de edad, acude a consulta por presentar una dermatosis de varios meses de evolución. A la exploración cuenta con múltiples lesiones en la V del escote, eritematoescamosas, fácilmente palpable y visible, de 0.5 cm de diámetro.</w:t>
      </w:r>
    </w:p>
    <w:p>
      <w:pPr>
        <w:pStyle w:val="Heading3"/>
      </w:pPr>
      <w:r>
        <w:t>8. Que grado de queratosis actínica presenta la paciente:</w:t>
      </w:r>
    </w:p>
    <w:p>
      <w:r>
        <w:rPr>
          <w:b/>
        </w:rPr>
        <w:t xml:space="preserve">Respuesta correcta: </w:t>
      </w:r>
      <w:r>
        <w:t>Grado 2</w:t>
      </w:r>
    </w:p>
    <w:p>
      <w:r>
        <w:rPr>
          <w:b/>
        </w:rPr>
        <w:t xml:space="preserve">Porqué: </w:t>
      </w:r>
      <w:r>
        <w:t>El diagnóstico es clínico y se complementa con estudio histopatológico en casos de sospecha de malignidad. La clasificación clínica de la queratosis actínica cuenta con tres grados: Grado 1: lesiones sobre-elevadas de la piel y apenas visibles. Grado 2: fácilmente palpable y visible. Grado 3: es una lesión gruesa, rugosa e hiperqueratósica.</w:t>
      </w:r>
    </w:p>
    <w:p>
      <w:pPr>
        <w:pStyle w:val="Heading3"/>
      </w:pPr>
      <w:r>
        <w:t>9. La queratosis actínica debe ser tratada por su potencial riesgo de evolucionar a:</w:t>
      </w:r>
    </w:p>
    <w:p>
      <w:r>
        <w:rPr>
          <w:b/>
        </w:rPr>
        <w:t xml:space="preserve">Respuesta correcta: </w:t>
      </w:r>
      <w:r>
        <w:t>Carcinoma espinocelular</w:t>
      </w:r>
    </w:p>
    <w:p>
      <w:r>
        <w:rPr>
          <w:b/>
        </w:rPr>
        <w:t xml:space="preserve">Porqué: </w:t>
      </w:r>
      <w:r>
        <w:t>La queratosis actínica son lesiones intraepidérmicas premalignas de la piel causada por la exposición prolongada a la radiación solar, que lleva a un riesgo de progresión a carcinoma espinocelular. Cuando han sido tratados satisfactoriamente se recomienda su seguimiento, dos veces al año a lo largo de su vida por el dermatólogo.</w:t>
      </w:r>
    </w:p>
    <w:p>
      <w:pPr>
        <w:pStyle w:val="Heading3"/>
      </w:pPr>
      <w:r>
        <w:t>10. Cual es el tratamiento recomendado de primera línea en esta paciente:</w:t>
      </w:r>
    </w:p>
    <w:p>
      <w:r>
        <w:rPr>
          <w:b/>
        </w:rPr>
        <w:t xml:space="preserve">Respuesta correcta: </w:t>
      </w:r>
      <w:r>
        <w:t>5-Fluorouracilo</w:t>
      </w:r>
    </w:p>
    <w:p>
      <w:r>
        <w:rPr>
          <w:b/>
        </w:rPr>
        <w:t xml:space="preserve">Porqué: </w:t>
      </w:r>
      <w:r>
        <w:t>El tratamiento con 5-fluorouracilo está recomendado de primera línea en paciente con QA múltiples, se utiliza una vez al día por la noche, por 6 semanas. El curetaje es ampliamente utilizado para el tratamiento de la QA hiperqueratósica. El diclofenaco tiene una eficacia moderada para el tratamiento de la QA leve. Los retinoides sistémicos pueden ser considerados para pacientes de alto riesgo como desórdenes heredados como xeroderma pigmentoso, síndrome de carcinoma de células basales o en pacientes con inmunosupresión crónica.</w:t>
      </w:r>
    </w:p>
    <w:p>
      <w:pPr>
        <w:pStyle w:val="Heading2"/>
      </w:pPr>
      <w:r>
        <w:t>Caso</w:t>
      </w:r>
    </w:p>
    <w:p>
      <w:r>
        <w:t>En el paciente con diagnóstico de enfermedad arterial periférica</w:t>
      </w:r>
    </w:p>
    <w:p>
      <w:pPr>
        <w:pStyle w:val="Heading3"/>
      </w:pPr>
      <w:r>
        <w:t>11. ¿Dónde se localiza generalmente la úlcera de la insuficiencia arterial?</w:t>
      </w:r>
    </w:p>
    <w:p>
      <w:r>
        <w:rPr>
          <w:b/>
        </w:rPr>
        <w:t xml:space="preserve">Respuesta correcta: </w:t>
      </w:r>
      <w:r>
        <w:t>En los dedos de los pies, maléolos externos o puntos de presión</w:t>
      </w:r>
    </w:p>
    <w:p>
      <w:r>
        <w:rPr>
          <w:b/>
        </w:rPr>
        <w:t xml:space="preserve">Porqué: </w:t>
      </w:r>
      <w:r>
        <w:t>El diagnóstico diferencial de la úlcera por insuficiencia arterial debe realizarse con úlcera por insuficiencia venosa y úlcera neurotrófica por DM, la úlcera por insuficiencia arterial se encuentra en dedos los pies, maléolos externos y puntos de presión los otros dos corresponden a úlcera por insuficiencia venosa y por DM respectivamente.</w:t>
      </w:r>
    </w:p>
    <w:p>
      <w:pPr>
        <w:pStyle w:val="Heading3"/>
      </w:pPr>
      <w:r>
        <w:t>12. ¿A las cuántas semanas de vida se considera persistencia del conducto arterioso?</w:t>
      </w:r>
    </w:p>
    <w:p>
      <w:r>
        <w:rPr>
          <w:b/>
        </w:rPr>
        <w:t xml:space="preserve">Respuesta correcta: </w:t>
      </w:r>
      <w:r>
        <w:t>6</w:t>
      </w:r>
    </w:p>
    <w:p>
      <w:r>
        <w:rPr>
          <w:b/>
        </w:rPr>
        <w:t xml:space="preserve">Porqué: </w:t>
      </w:r>
      <w:r>
        <w:t>El conducto arterioso es una estructura vascular, que conecta la arteria pulmonar con la aorta descendente. El orificio del conducto arterioso se localiza inmediatamente a la izquierda de la bifurcación del tronco de la arteria pulmonar y a nivel aórtico en la unión del arco aórtico con la aorta descendente. El CA se encuentra permeable desde la semana 8 de gestación y durante todo el desarrollo-crecimiento intrauterino, y mantiene 70% del gasto cardiaco fetal. Se cierra espontáneamente después del nacimiento en la mayoría de los recién nacidos a término. Sin embargo, en los prematuros el cierre del ductus se produce con frecuencia más allá de la primera semana de vida, especialmente en aquellos que precisan ventilación mecánica. En ocasiones el CA no se cierra posterior al nacimiento, manteniendo y produciéndose corto circuito desde la aorta a la arteria pulmonar, denominándose PCA a partir de la 6° semana de vida (según la GPC diagnóstico y tratamiento de la Persistencia del Conducto Arterioso en niños, adolescentes y adultos).</w:t>
      </w:r>
    </w:p>
    <w:p>
      <w:pPr>
        <w:pStyle w:val="Heading2"/>
      </w:pPr>
      <w:r>
        <w:t>Caso</w:t>
      </w:r>
    </w:p>
    <w:p>
      <w:r>
        <w:t>Mujer de 20 años acude por presentar aumento del flujo vaginal fisiológico en los últimos días, acompañado de tensión mamaria y cambios en el estado de ánimo. No ha iniciado vida sexual, niega antecedentes familiares o personales de relevancia, y no consume tabaco ni alcohol. Sus ciclos menstruales son regulares, con duración de 28 días, y refiere que la última menstruación comenzó hace 10 días. En la exploración no se detectan alteraciones. La ecografía transvaginal muestra varios folículos en ambos ovarios, con un folículo dominante de 14 mm en el ovario derecho. El endometrio mide 7 mm, con</w:t>
      </w:r>
    </w:p>
    <w:p>
      <w:pPr>
        <w:pStyle w:val="Heading3"/>
      </w:pPr>
      <w:r>
        <w:t>13. ¿Cuál de las siguientes acciones fisiológicas es atribuible directamente a la FSH durante la fase folicular del ciclo ovárico?</w:t>
      </w:r>
    </w:p>
    <w:p>
      <w:r>
        <w:rPr>
          <w:b/>
        </w:rPr>
        <w:t xml:space="preserve">Respuesta correcta: </w:t>
      </w:r>
      <w:r>
        <w:t>Estimulación de la aromatización de andrógenos en estrógenos</w:t>
      </w:r>
    </w:p>
    <w:p>
      <w:r>
        <w:rPr>
          <w:b/>
        </w:rPr>
        <w:t xml:space="preserve">Porqué: </w:t>
      </w:r>
      <w:r>
        <w:t>La FSH actúa sobre las células de la granulosa en los folículos en desarrollo, estimulando la actividad de la enzima aromatasa, que convierte los andrógenos (producidos por las células de la teca interna bajo el estímulo de la LH) en estradiol. Esta producción de estrógenos es crucial para la maduración folicular y la preparación del endometrio en la fase proliferativa. La secreción de progesterona y la maduración secretora del endometrio dependen de la fase lútea. La activación del eje hipotálamo-hipófisis es previa a la acción de la FSH, no consecuencia de esta.</w:t>
      </w:r>
    </w:p>
    <w:p>
      <w:pPr>
        <w:pStyle w:val="Heading3"/>
      </w:pPr>
      <w:r>
        <w:t>14. Durante el avance de la fase folicular, ¿cuál es el mecanismo principal por el cual el aumento progresivo del estradiol regula la secreción de FSH?</w:t>
      </w:r>
    </w:p>
    <w:p>
      <w:r>
        <w:rPr>
          <w:b/>
        </w:rPr>
        <w:t xml:space="preserve">Respuesta correcta: </w:t>
      </w:r>
      <w:r>
        <w:t>Inhibe directamente la secreción de FSH mediante retroalimentación negativa</w:t>
      </w:r>
    </w:p>
    <w:p>
      <w:r>
        <w:rPr>
          <w:b/>
        </w:rPr>
        <w:t xml:space="preserve">Porqué: </w:t>
      </w:r>
      <w:r>
        <w:t>El aumento progresivo del estradiol durante la fase folicular ejerce un efecto de retroalimentación negativa sobre la hipófisis anterior, inhibiendo la secreción de FSH. Esto evita la maduración simultánea de múltiples folículos y favorece la selección de un folículo dominante. La inhibina B, producida por las células de la granulosa, también contribuye a inhibir FSH, pero el estradiol ejerce un control más directo en esta fase. La inhibina A predomina en la fase lútea. La LH sí se estimula en el pico ovulatorio, pero eso ocurre más adelante. La GnRH se sintetiza en el hipotálamo, no en la hipófisis.</w:t>
      </w:r>
    </w:p>
    <w:p>
      <w:pPr>
        <w:pStyle w:val="Heading2"/>
      </w:pPr>
      <w:r>
        <w:t>Caso</w:t>
      </w:r>
    </w:p>
    <w:p>
      <w:r>
        <w:t>Durante tu rotación por el servicio de medicina interna en el área de cuidados paliativos, te encuentras con un paciente masculino de 74 años, diagnosticado con melanoma en etapa 4, el cual ha invadido el sistema óseo y cerebral. El paciente estuvo en tratamiento con quimioterapia durante 1 año, sin obtener una respuesta adecuada. Por ello, se decidió iniciar el control del dolor con opioides para mejorar su calidad de vida. En el pase de visita, el paciente refiere que los opioides ya no controlan el dolor como al principio y solicita un fármaco más potente.</w:t>
      </w:r>
    </w:p>
    <w:p>
      <w:pPr>
        <w:pStyle w:val="Heading3"/>
      </w:pPr>
      <w:r>
        <w:t>15. De todos los opioides disponibles, ¿Cuál se administra por vía intranasal?</w:t>
      </w:r>
    </w:p>
    <w:p>
      <w:r>
        <w:rPr>
          <w:b/>
        </w:rPr>
        <w:t xml:space="preserve">Respuesta correcta: </w:t>
      </w:r>
      <w:r>
        <w:t>Butorfanol</w:t>
      </w:r>
    </w:p>
    <w:p>
      <w:r>
        <w:rPr>
          <w:b/>
        </w:rPr>
        <w:t xml:space="preserve">Porqué: </w:t>
      </w:r>
      <w:r>
        <w:t>La codeína se asocia principalmente con efectos adversos como náusea y vómito. La metadona produce sedación tardía debido a su semivida prolongada; no debe iniciarse con dosis mayores a 40 mg/día y el aumento de dosis no debe hacerse antes de cada tres días. La buprenorfina se aplica por medio de parche transdérmico durante siete días. El butorfanol se aplica por medio de nebulización intranasal.</w:t>
      </w:r>
    </w:p>
    <w:p>
      <w:pPr>
        <w:pStyle w:val="Heading3"/>
      </w:pPr>
      <w:r>
        <w:t>16. Tipos de antidepresivos de mayor utilidad para el control del dolor crónico:</w:t>
      </w:r>
    </w:p>
    <w:p>
      <w:r>
        <w:rPr>
          <w:b/>
        </w:rPr>
        <w:t xml:space="preserve">Respuesta correcta: </w:t>
      </w:r>
      <w:r>
        <w:t>Antidepresivos tricíclicos</w:t>
      </w:r>
    </w:p>
    <w:p>
      <w:r>
        <w:rPr>
          <w:b/>
        </w:rPr>
        <w:t xml:space="preserve">Porqué: </w:t>
      </w:r>
      <w:r>
        <w:t>Los antidepresivos tricíclicos (TCA, tricyclic antidepressants) de manera particular la nortriptilina y la desipramina son sumamente útiles para tratar a los pacientes con dolores crónicos. Aunque se desarrollaron para combatir la depresión, los tricíclicos tienen varios efectos biológicos dependientes de las dosis, entre los que se encuentran su acción analgésica en diversos procesos clínicos. Se desconoce el mecanismo, pero la acción analgésica de los tricíclicos comienza más rápidamente y aparece con dosis menores de las que, por lo común, se necesitan para tratar la depresión.</w:t>
      </w:r>
    </w:p>
    <w:p>
      <w:pPr>
        <w:pStyle w:val="Heading2"/>
      </w:pPr>
      <w:r>
        <w:t>Caso</w:t>
      </w:r>
    </w:p>
    <w:p>
      <w:r>
        <w:t xml:space="preserve">Masculino de 10 meses es traído a consulta por su madre, quien refiere preocupación por una “bolita en el ombligo”. La madre refiere notar el abultamiento desde el periodo neonatal, pero percibe que aumenta de tamaño significativamente con el llanto o al pujar, sin causar dolor aparente, vómito ni cambios de coloración en la piel. Como antecedente de importancia, el paciente nació a las 34 SDG, APGAR 7/9, Silverman Andersen 1. Sus signos vitales son temperatura de 36.8 °C, FC 110 lpm, FR 28 rpm y SatO2 98%. A la exploración abdominal, en la región umbilical, encuentras un abultamiento blando, </w:t>
      </w:r>
    </w:p>
    <w:p>
      <w:pPr>
        <w:pStyle w:val="Heading3"/>
      </w:pPr>
      <w:r>
        <w:t>17. ¿Cuál es la conducta más apropiada?</w:t>
      </w:r>
    </w:p>
    <w:p>
      <w:r>
        <w:rPr>
          <w:b/>
        </w:rPr>
        <w:t xml:space="preserve">Respuesta correcta: </w:t>
      </w:r>
      <w:r>
        <w:t>Referir para valoración por cirugía pediátrica</w:t>
      </w:r>
    </w:p>
    <w:p>
      <w:r>
        <w:rPr>
          <w:b/>
        </w:rPr>
        <w:t xml:space="preserve">Porqué: </w:t>
      </w:r>
      <w:r>
        <w:t>El manejo de la hernia umbilical en niños se basa en dos criterios: la edad del paciente y el tamaño del defecto. Si bien, muchas hernias cierran espontáneamente, la GPC solo recomienda la vigilancia si el defecto es menor a 1.5 cm y el paciente es menor de 2 años. Un defecto mayor es una indicación de envío a segundo nivel para tratamiento quirúrgico, independientemente de la edad. El diagnóstico es clínico, por lo que el ultrasonido es innecesario. La colocación de malla es incorrecta, pues ese es el manejo para adultos con defectos grandes, no para pediátricos.</w:t>
      </w:r>
    </w:p>
    <w:p>
      <w:pPr>
        <w:pStyle w:val="Heading3"/>
      </w:pPr>
      <w:r>
        <w:t>18. ¿Cuál es el criterio que justifica la conducta elegida?</w:t>
      </w:r>
    </w:p>
    <w:p>
      <w:r>
        <w:rPr>
          <w:b/>
        </w:rPr>
        <w:t xml:space="preserve">Respuesta correcta: </w:t>
      </w:r>
      <w:r>
        <w:t>Tamaño del defecto &gt; 1.5 cm</w:t>
      </w:r>
    </w:p>
    <w:p>
      <w:r>
        <w:rPr>
          <w:b/>
        </w:rPr>
        <w:t xml:space="preserve">Porqué: </w:t>
      </w:r>
      <w:r>
        <w:t>Como se mencionó antes, el defecto &gt; 1.5 cm se considera una indicación quirúrgica independientemente de la edad. El hecho de ser prematuro es un factor de riesgo para desarrollar la hernia, pero no es la indicación quirúrgica en sí misma. Finalmente, la clínica es clásica de hernia, no se requiere descartar un onfalocele.</w:t>
      </w:r>
    </w:p>
    <w:p>
      <w:pPr>
        <w:pStyle w:val="Heading3"/>
      </w:pPr>
      <w:r>
        <w:t>19. ¿Cuál es el procedimiento quirúrgico de elección?</w:t>
      </w:r>
    </w:p>
    <w:p>
      <w:r>
        <w:rPr>
          <w:b/>
        </w:rPr>
        <w:t xml:space="preserve">Respuesta correcta: </w:t>
      </w:r>
      <w:r>
        <w:t>Cierre del defecto con técnica de Mayo y sutura absorbible</w:t>
      </w:r>
    </w:p>
    <w:p>
      <w:r>
        <w:rPr>
          <w:b/>
        </w:rPr>
        <w:t xml:space="preserve">Porqué: </w:t>
      </w:r>
      <w:r>
        <w:t>El tratamiento quirúrgico pediátrico difiere del de adultos. En niños, la capacidad de cicatrización y la calidad de la fascia permiten un cierre primario. La GPC recomienda el cierre del defecto con la técnica de Mayo, utilizando material de sutura absorbible. El uso de material protésico o hernioplastia no se menciona como estándar en niños, esta es la recomendación para adultos con defectos mayores a 3 cm. De igual manera, el uso de sutura no absorbible se reserva como opción en adultos, no siendo la primera línea en pediatría. Finalmente, la GPC recomienda la cirugía abierta por encima de la laparoscópica, argumentando que requiere menos tiempo de ejecución.</w:t>
      </w:r>
    </w:p>
    <w:p>
      <w:pPr>
        <w:pStyle w:val="Heading2"/>
      </w:pPr>
      <w:r>
        <w:t>Caso</w:t>
      </w:r>
    </w:p>
    <w:p>
      <w:r>
        <w:t>Se trata de un paciente masculino de 35 años de edad. Como antecedentes patológicos de importancia presenta enfermedad inflamatoria intestinal crónica, en tratamiento irregular con mesalazina. Acude a tu consulta por referir dolor ardoroso, continuo en región anal, el cual empeora con la deambulación. A la exploración física, temperatura de 38.4 grados centígrados, FC 110 lpm, Fr 22 rpm, TA 80/67 mmHg. Al tacto rectal, no se palpan masas ni abombamientos. Tú sospechas en absceso anal.</w:t>
      </w:r>
    </w:p>
    <w:p>
      <w:pPr>
        <w:pStyle w:val="Heading3"/>
      </w:pPr>
      <w:r>
        <w:t>20. Tipo de absceso anal más frecuente:</w:t>
      </w:r>
    </w:p>
    <w:p>
      <w:r>
        <w:rPr>
          <w:b/>
        </w:rPr>
        <w:t xml:space="preserve">Respuesta correcta: </w:t>
      </w:r>
      <w:r>
        <w:t>Perianal</w:t>
      </w:r>
    </w:p>
    <w:p>
      <w:r>
        <w:rPr>
          <w:b/>
        </w:rPr>
        <w:t xml:space="preserve">Porqué: </w:t>
      </w:r>
      <w:r>
        <w:t>El absceso anal es una de las lesiones ano rectales más frecuentes, resulta en trayectos fistulosos. La mayoría de los abscesos son manejados con drenaje directo. El tipo de absceso anal más frecuente es el perianal (superficial 60%), isquiorrectal (30%), intraesfintérico (5%), supraelevador (4%) y submucoso (1%).</w:t>
      </w:r>
    </w:p>
    <w:p>
      <w:pPr>
        <w:pStyle w:val="Heading3"/>
      </w:pPr>
      <w:r>
        <w:t>21. ¿Cuál es la edad media de presentación de esta patología?</w:t>
      </w:r>
    </w:p>
    <w:p>
      <w:r>
        <w:rPr>
          <w:b/>
        </w:rPr>
        <w:t xml:space="preserve">Respuesta correcta: </w:t>
      </w:r>
      <w:r>
        <w:t>40 años</w:t>
      </w:r>
    </w:p>
    <w:p>
      <w:r>
        <w:rPr>
          <w:b/>
        </w:rPr>
        <w:t xml:space="preserve">Porqué: </w:t>
      </w:r>
      <w:r>
        <w:t>La edad de presentación más frecuente se encuentra entre los 20 y 60 años, con una media de 40 años en ambos sexos. Hábitos higiénicos, dietéticos y una vida sedentaria, se encuentran implicados, pero no hay una significancia estadística para tomarse como un factor mayor de importancia. Otras causas más son la enfermedad inflamatoria intestinal, inespecífica, y con menos frecuencia las neoplasias de pelvis.</w:t>
      </w:r>
    </w:p>
    <w:p>
      <w:pPr>
        <w:pStyle w:val="Heading3"/>
      </w:pPr>
      <w:r>
        <w:t>22. Técnica de elección para identificar proctitis:</w:t>
      </w:r>
    </w:p>
    <w:p>
      <w:r>
        <w:rPr>
          <w:b/>
        </w:rPr>
        <w:t xml:space="preserve">Respuesta correcta: </w:t>
      </w:r>
      <w:r>
        <w:t>RM anal</w:t>
      </w:r>
    </w:p>
    <w:p>
      <w:r>
        <w:rPr>
          <w:b/>
        </w:rPr>
        <w:t xml:space="preserve">Porqué: </w:t>
      </w:r>
      <w:r>
        <w:t>La resonancia magnética cuenta con mejor resolución para diagnosticar proctitis, o tejidos de inflamación, así como el encontrar líquido pre-sacro o crecimiento ganglionar. La resonancia magnética se recomienda para establecer profundidad y/o extensión del absceso.</w:t>
      </w:r>
    </w:p>
    <w:p>
      <w:pPr>
        <w:pStyle w:val="Heading2"/>
      </w:pPr>
      <w:r>
        <w:t>Caso</w:t>
      </w:r>
    </w:p>
    <w:p>
      <w:r>
        <w:t>Paciente masculino de 21 años, sin antecedentes patológicos de importancia. Es traído al servicio de urgencias, por presentar cefalea intensa súbita, desorientación y vomito, posterior a que bajara de una montaña rusa en un parque de diversiones. Signos vitales: temperatura 37.3ºC, FC 105 lpm, FR 21 rpm y TA 90/60 mmHg. A la exploración física paciente somnoliento, desorientado, poco cooperador, con palabras incomprensibles y rigidez de cuello. Se realiza TAC que reporta lo siguiente (ver imagen).</w:t>
      </w:r>
    </w:p>
    <w:p>
      <w:pPr>
        <w:pStyle w:val="Heading3"/>
      </w:pPr>
      <w:r>
        <w:t>23. ¿Cuál es el diagnóstico del paciente?</w:t>
      </w:r>
    </w:p>
    <w:p>
      <w:r>
        <w:rPr>
          <w:b/>
        </w:rPr>
        <w:t xml:space="preserve">Respuesta correcta: </w:t>
      </w:r>
      <w:r>
        <w:t>Hemorragia subaracnoidea</w:t>
      </w:r>
    </w:p>
    <w:p>
      <w:r>
        <w:rPr>
          <w:b/>
        </w:rPr>
        <w:t xml:space="preserve">Porqué: </w:t>
      </w:r>
      <w:r>
        <w:t>Pregunta ENARM 2024: Paciente que posterior a subirse a montaña rusa presenta hemorragia subaracnoidea. Clínicamente se caracteriza con cefalea intensa súbita, disminución del estado de alerta e hipertensión intracraneana manifestada por rigidez de cuello y vomito.</w:t>
      </w:r>
    </w:p>
    <w:p>
      <w:pPr>
        <w:pStyle w:val="Heading2"/>
      </w:pPr>
      <w:r>
        <w:t>Caso</w:t>
      </w:r>
    </w:p>
    <w:p>
      <w:r>
        <w:t>Un hombre de 70 años acude al servicio de urgencias por dolor en la muñeca izquierda. El paciente estaba barriendo cuando resbaló, cayó y aterrizó con el brazo izquierdo extendido. Posteriormente, no pudo mover la muñeca izquierda debido al dolor. Los signos vitales están dentro de los límites normales. A la exploración física, se observa edema y deformidad en la muñeca izquierda. Las radiografías simples de la muñeca izquierda se muestran a continuación.</w:t>
      </w:r>
    </w:p>
    <w:p>
      <w:pPr>
        <w:pStyle w:val="Heading3"/>
      </w:pPr>
      <w:r>
        <w:t>24. ¿Cuál es el diagnóstico más probable?</w:t>
      </w:r>
    </w:p>
    <w:p>
      <w:r>
        <w:rPr>
          <w:b/>
        </w:rPr>
        <w:t xml:space="preserve">Respuesta correcta: </w:t>
      </w:r>
      <w:r>
        <w:t>Fractura de Colles</w:t>
      </w:r>
    </w:p>
    <w:p>
      <w:r>
        <w:rPr>
          <w:b/>
        </w:rPr>
        <w:t xml:space="preserve">Porqué: </w:t>
      </w:r>
      <w:r>
        <w:t>Este paciente mayor se presenta tras una caída sobre la mano extendida. Las imágenes de la muñeca revelan una fractura distal del radio con angulación dorsal, compatible con una fractura de Colles. Las fracturas de Colles son las más frecuentes en la muñeca, y suelen ocurrir después de lesiones deportivas en pacientes jóvenes o traumas de baja energía en pacientes mayores con osteoporosis. En las radiografías simples, se observa una fractura del radio distal, con diferentes grados de impacto, desplazamiento y fracturas intraarticulares asociadas. El mecanismo típico es una caída sobre una mano extendida, lo que provoca el desplazamiento dorsal del fragmento radial. Por otro lado, las fracturas de Smith son fracturas distales del radio con angulación volar. Este patrón de fractura generalmente ocurre por caídas sobre muñecas en flexión, en contraste con las fracturas de Colles, donde la muñeca está en extensión durante la caída. Ambas fracturas se diagnostican mediante radiografías simples. Clínicamente, ambos tipos de fractura presentan edema, deformidad de la muñeca y limitación del movimiento pasivo y activo debido al dolor.</w:t>
      </w:r>
    </w:p>
    <w:p>
      <w:pPr>
        <w:pStyle w:val="Heading3"/>
      </w:pPr>
      <w:r>
        <w:t>25. ¿Cuál es el tratamiento de primera elección para este caso?</w:t>
      </w:r>
    </w:p>
    <w:p>
      <w:r>
        <w:rPr>
          <w:b/>
        </w:rPr>
        <w:t xml:space="preserve">Respuesta correcta: </w:t>
      </w:r>
      <w:r>
        <w:t>Reducción cerrada con inmovilización posterior mediante yeso</w:t>
      </w:r>
    </w:p>
    <w:p>
      <w:r>
        <w:rPr>
          <w:b/>
        </w:rPr>
        <w:t xml:space="preserve">Porqué: </w:t>
      </w:r>
      <w:r>
        <w:t>El tratamiento de la fractura de Colles varía según el desplazamiento, la estabilidad de la fractura y el estado funcional del paciente. Tratamiento conservador: Se emplea en fracturas no desplazadas o mínimamente desplazadas. Consiste en la reducción cerrada (si es necesaria), seguida de inmovilización con férula o yeso durante 4-6 semanas. Es fundamental realizar un seguimiento con radiografías periódicas para asegurar que no haya desplazamiento durante el proceso de curación. Tras retirar el yeso, se inicia fisioterapia para recuperar el rango de movimiento y la fuerza. Tratamiento quirúrgico: Está indicado en fracturas inestables, desplazadas o con compromiso articular. Se realiza una reducción abierta con fijación interna (RAFI), utilizando placas y tornillos. Según la complejidad, también pueden usarse fijadores externos o clavos percutáneos. La rehabilitación postoperatoria es crucial para restaurar la movilidad y función de la muñeca. En ambos casos, es esencial un manejo adecuado del dolor, inmovilización y rehabilitación para una recuperación funcional óptima. En pacientes mayores con osteoporosis, es importante tratar la enfermedad subyacente para prevenir futuras fracturas.</w:t>
      </w:r>
    </w:p>
    <w:p>
      <w:pPr>
        <w:pStyle w:val="Heading2"/>
      </w:pPr>
      <w:r>
        <w:t>Caso</w:t>
      </w:r>
    </w:p>
    <w:p>
      <w:r>
        <w:t>Paciente masculino de 45 años, con antecedentes de Diabetes Mellitus tipo 2, Hipertensión arterial y Sobrepeso, trabaja como albañil. Acude a consulta por presentar máculas, pápulas y vesículas dolorosas y pruriginosas en el dorso de las manos, con fondo eritematoso, desde hace 3 días. Refiere que esta semana comenzó el colado en la construcción donde trabaja, por lo que estuvo en contacto directo con el cemento sin protección.</w:t>
      </w:r>
    </w:p>
    <w:p>
      <w:pPr>
        <w:pStyle w:val="Heading3"/>
      </w:pPr>
      <w:r>
        <w:t>26. De acuerdo al cuadro clínico del paciente, ¿Cuál es el diagnóstico?</w:t>
      </w:r>
    </w:p>
    <w:p>
      <w:r>
        <w:rPr>
          <w:b/>
        </w:rPr>
        <w:t xml:space="preserve">Respuesta correcta: </w:t>
      </w:r>
      <w:r>
        <w:t>Dermatitis de contacto</w:t>
      </w:r>
    </w:p>
    <w:p>
      <w:r>
        <w:rPr>
          <w:b/>
        </w:rPr>
        <w:t xml:space="preserve">Porqué: </w:t>
      </w:r>
      <w:r>
        <w:t>La dermatitis de contacto se caracteriza por máculas, pápulas y vesículas las cuales producen prurito. Se relaciona con antecedente de exposición a sustancia u objeto, en este caso por su oficio, exposición al cemento.</w:t>
      </w:r>
    </w:p>
    <w:p>
      <w:pPr>
        <w:pStyle w:val="Heading3"/>
      </w:pPr>
      <w:r>
        <w:t>27. ¿Cuál es el agente responsable de la dermatitis del paciente?</w:t>
      </w:r>
    </w:p>
    <w:p>
      <w:r>
        <w:rPr>
          <w:b/>
        </w:rPr>
        <w:t xml:space="preserve">Respuesta correcta: </w:t>
      </w:r>
      <w:r>
        <w:t>Cromo</w:t>
      </w:r>
    </w:p>
    <w:p>
      <w:r>
        <w:rPr>
          <w:b/>
        </w:rPr>
        <w:t xml:space="preserve">Porqué: </w:t>
      </w:r>
      <w:r>
        <w:t>El agente relacionado a Dermatitis por contacto ocasionada por Cemento es el Cromo.</w:t>
      </w:r>
    </w:p>
    <w:p>
      <w:pPr>
        <w:pStyle w:val="Heading3"/>
      </w:pPr>
      <w:r>
        <w:t>28. ¿Cuál es el tratamiento que iniciaría en este paciente?</w:t>
      </w:r>
    </w:p>
    <w:p>
      <w:r>
        <w:rPr>
          <w:b/>
        </w:rPr>
        <w:t xml:space="preserve">Respuesta correcta: </w:t>
      </w:r>
      <w:r>
        <w:t>Tratamiento a base de esteroides de moderada potencia, así como medidas generales considerando evitar contacto con la sustancia irritativa</w:t>
      </w:r>
    </w:p>
    <w:p>
      <w:r>
        <w:rPr>
          <w:b/>
        </w:rPr>
        <w:t xml:space="preserve">Porqué: </w:t>
      </w:r>
      <w:r>
        <w:t>La piedra angular del tratamiento de la Dermatitis por contacto es Evitar contacto con la sustancia irritativa, sin embargo, de acuerdo a la severidad, se pueden emplear esteroides de mediana potencia, según el sitio de localización de las lesiones.</w:t>
      </w:r>
    </w:p>
    <w:p>
      <w:pPr>
        <w:pStyle w:val="Heading2"/>
      </w:pPr>
      <w:r>
        <w:t>Caso</w:t>
      </w:r>
    </w:p>
    <w:p>
      <w:r>
        <w:t>Padres acuden preocupados a valoración de su hija de 2 años, producto de la primera gesta de un embarazo normoevolutivo, obtenida a las 38SDG vía vaginal, sin necesidad de maniobras ni oxigeno suplementario. Padres refieren estar en seguimiento por diagnóstico de dermatitis atópica predominante en cara y pliegues, con brotes moderados cada 3–4 semanas pese a baños cortos y emoliente diario. Ha usado cursos breves de esteroide tópico de baja potencia en brote con control parcial. En consulta actual presenta placas eritemato-descamativas en mejillas y regiones antecubitales, con prurito importan</w:t>
      </w:r>
    </w:p>
    <w:p>
      <w:pPr>
        <w:pStyle w:val="Heading3"/>
      </w:pPr>
      <w:r>
        <w:t>29. ¿Qué afirmación sobre el uso de pimecrolimus es correcta?</w:t>
      </w:r>
    </w:p>
    <w:p>
      <w:r>
        <w:rPr>
          <w:b/>
        </w:rPr>
        <w:t xml:space="preserve">Respuesta correcta: </w:t>
      </w:r>
      <w:r>
        <w:t>Se usa al 0.1% en menores de dos años de edad</w:t>
      </w:r>
    </w:p>
    <w:p>
      <w:r>
        <w:rPr>
          <w:b/>
        </w:rPr>
        <w:t xml:space="preserve">Porqué: </w:t>
      </w:r>
      <w:r>
        <w:t>El pimecrolimus se encuentra disponible en crema y está autorizado su uso en niños mayores de dos años de edad. La principal ventaja del uso de los inhibidores de la calcineurina sobre los estoroides tópicos es que los inhibidores de la calcineurina no causan efectos adversos como atrofia de piel.</w:t>
      </w:r>
    </w:p>
    <w:p>
      <w:pPr>
        <w:pStyle w:val="Heading3"/>
      </w:pPr>
      <w:r>
        <w:t>30. ¿Cuál es el efecto adverso más reportado?</w:t>
      </w:r>
    </w:p>
    <w:p>
      <w:r>
        <w:rPr>
          <w:b/>
        </w:rPr>
        <w:t xml:space="preserve">Respuesta correcta: </w:t>
      </w:r>
      <w:r>
        <w:t>Prurito</w:t>
      </w:r>
    </w:p>
    <w:p>
      <w:r>
        <w:rPr>
          <w:b/>
        </w:rPr>
        <w:t xml:space="preserve">Porqué: </w:t>
      </w:r>
      <w:r>
        <w:t>Los efectos adversos reportados fueron sensación de quemazón y prurito (5% a 86%)</w:t>
      </w:r>
    </w:p>
    <w:p>
      <w:pPr>
        <w:pStyle w:val="Heading3"/>
      </w:pPr>
      <w:r>
        <w:t>31. ¿Cuál es la principal indicación de uso?</w:t>
      </w:r>
    </w:p>
    <w:p>
      <w:r>
        <w:rPr>
          <w:b/>
        </w:rPr>
        <w:t xml:space="preserve">Respuesta correcta: </w:t>
      </w:r>
      <w:r>
        <w:t>En áreas de piel delgada</w:t>
      </w:r>
    </w:p>
    <w:p>
      <w:r>
        <w:rPr>
          <w:b/>
        </w:rPr>
        <w:t xml:space="preserve">Porqué: </w:t>
      </w:r>
      <w:r>
        <w:t>La principal ventaja del uso de los inhibidores de la calcineurina sobre los estoroides tópicos es que los inhibidores de la calcineurina no causan efectos adversos como atrofia de piel. Esto es particularmente beneficioso al tratar piel delgada como la cara en donde la barrera cutánea es muy delgada y la cantidad de corticoesteroide tópico puede ser suficiente para causar atrofia.</w:t>
      </w:r>
    </w:p>
    <w:p>
      <w:pPr>
        <w:pStyle w:val="Heading2"/>
      </w:pPr>
      <w:r>
        <w:t>Caso</w:t>
      </w:r>
    </w:p>
    <w:p>
      <w:r>
        <w:t>En cuanto a las causas de obstrucción a nivel del colon</w:t>
      </w:r>
    </w:p>
    <w:p>
      <w:pPr>
        <w:pStyle w:val="Heading3"/>
      </w:pPr>
      <w:r>
        <w:t>32. Es la tercera causa de obstrucción del colon:</w:t>
      </w:r>
    </w:p>
    <w:p>
      <w:r>
        <w:rPr>
          <w:b/>
        </w:rPr>
        <w:t xml:space="preserve">Respuesta correcta: </w:t>
      </w:r>
      <w:r>
        <w:t>Vólvulo</w:t>
      </w:r>
    </w:p>
    <w:p>
      <w:r>
        <w:rPr>
          <w:b/>
        </w:rPr>
        <w:t xml:space="preserve">Porqué: </w:t>
      </w:r>
      <w:r>
        <w:t>En las naciones desarrolladas el vólvulo sigue a las neoplasias y enfermedad diverticular como la tercera causa principal de obstrucción de color y representa el 1% al 7% de todas las obstrucciones intestinales.</w:t>
      </w:r>
    </w:p>
    <w:p>
      <w:pPr>
        <w:pStyle w:val="Heading3"/>
      </w:pPr>
      <w:r>
        <w:t>33. ¿Cuál es la tasa de mortalidad de esta patología?</w:t>
      </w:r>
    </w:p>
    <w:p>
      <w:r>
        <w:rPr>
          <w:b/>
        </w:rPr>
        <w:t xml:space="preserve">Respuesta correcta: </w:t>
      </w:r>
      <w:r>
        <w:t>7-20%</w:t>
      </w:r>
    </w:p>
    <w:p>
      <w:r>
        <w:rPr>
          <w:b/>
        </w:rPr>
        <w:t xml:space="preserve">Porqué: </w:t>
      </w:r>
      <w:r>
        <w:t>GPC: Tiene una tasa de mortalidad del 7 al 20%. Se ha estimado la proporción de vólvulo cecal en 15% y el 40% de todos los casos de vólvulo de colon.</w:t>
      </w:r>
    </w:p>
    <w:p>
      <w:pPr>
        <w:pStyle w:val="Heading2"/>
      </w:pPr>
      <w:r>
        <w:t>Caso</w:t>
      </w:r>
    </w:p>
    <w:p>
      <w:r>
        <w:t>Paciente femenino de 12 años de edad con antecedente de parto fortuito, mal control prenatal y sin consultas de niño sano. Acude acompañada de su madre a su consulta por presentar malestar general, cefalea, disnea de medianos esfuerzos y claudicación intermitente. A la exploración física encontramos una paciente tranquila, con implantación baja de pabellones auriculares, línea capilar posterior baja, pterigium coli, retrognatia, talla baja y pulsos femorales retrasados en relación a pulsos braquiales, a la auscultación soplo mesosistólico en tórax anterior. Signos vitales: TA 138/82, FC 76 lpm</w:t>
      </w:r>
    </w:p>
    <w:p>
      <w:pPr>
        <w:pStyle w:val="Heading3"/>
      </w:pPr>
      <w:r>
        <w:t>34. ¿Cuál de los siguientes no es imprescindible para tu principal sospecha diagnóstica?</w:t>
      </w:r>
    </w:p>
    <w:p>
      <w:r>
        <w:rPr>
          <w:b/>
        </w:rPr>
        <w:t xml:space="preserve">Respuesta correcta: </w:t>
      </w:r>
      <w:r>
        <w:t>Malformación cardiaca</w:t>
      </w:r>
    </w:p>
    <w:p>
      <w:r>
        <w:rPr>
          <w:b/>
        </w:rPr>
        <w:t xml:space="preserve">Porqué: </w:t>
      </w:r>
      <w:r>
        <w:t>El diagnóstico de Síndrome de Turner requiere la presencia de: a) hallazgos físicos característicos, b) fenotipo femenino y c) la ausencia total o parcial del segundo cromosoma sexual con o sin mosaicismo.</w:t>
      </w:r>
    </w:p>
    <w:p>
      <w:pPr>
        <w:pStyle w:val="Heading3"/>
      </w:pPr>
      <w:r>
        <w:t>35. Según su principal sospecha diagnóstica, ¿Cuál es el siguiente estudio a solicitar?</w:t>
      </w:r>
    </w:p>
    <w:p>
      <w:r>
        <w:rPr>
          <w:b/>
        </w:rPr>
        <w:t xml:space="preserve">Respuesta correcta: </w:t>
      </w:r>
      <w:r>
        <w:t>Cariotipo</w:t>
      </w:r>
    </w:p>
    <w:p>
      <w:r>
        <w:rPr>
          <w:b/>
        </w:rPr>
        <w:t xml:space="preserve">Porqué: </w:t>
      </w:r>
      <w:r>
        <w:t>En todos los pacientes con sospecha de síndrome de Turner, se debe realizar cariotipo. El cariotipo es el método mediante el cual se puede descubrir la presencia de alteraciones cromosómicas relacionadas con el fenotipo.</w:t>
      </w:r>
    </w:p>
    <w:p>
      <w:pPr>
        <w:pStyle w:val="Heading3"/>
      </w:pPr>
      <w:r>
        <w:t>36. Según el estudio seleccionado, ¿Cuál de los siguientes predispone a un mayor riesgo para el desarrollo de gonadoblastoma?</w:t>
      </w:r>
    </w:p>
    <w:p>
      <w:r>
        <w:rPr>
          <w:b/>
        </w:rPr>
        <w:t xml:space="preserve">Respuesta correcta: </w:t>
      </w:r>
      <w:r>
        <w:t>Presencia de material del cromosoma Y</w:t>
      </w:r>
    </w:p>
    <w:p>
      <w:r>
        <w:rPr>
          <w:b/>
        </w:rPr>
        <w:t xml:space="preserve">Porqué: </w:t>
      </w:r>
      <w:r>
        <w:t>La presencia de material del cromosoma Y en pacientes con síndrome de Turner es un factor de riesgo para el desarrollo de gonadoblastoma.</w:t>
      </w:r>
    </w:p>
    <w:p>
      <w:pPr>
        <w:pStyle w:val="Heading2"/>
      </w:pPr>
      <w:r>
        <w:t>Caso</w:t>
      </w:r>
    </w:p>
    <w:p>
      <w:r>
        <w:t>Femenina de 21 años de edad, quien acude a urgencias con embarazo de 35.5 semanas de gestación, por actividad uterina irregular. Ingresa y se administran uteroinhibición y esquema de maduración pulmonar. Por registro cardiotocográfico se identifica categoría II, que no revierte a a medidas de reaanimación, uteroinhibición inefectiva. Se decide realizar cesárea, obteniendo a recién nacida que no respira ni llora, sin esfuerzo respiratorio, otorgando un ciclo de ventilación con presión positiva con el cual recupera esfuerzo respiratorio. A la exploración identificamos ictericia, dermatosis macul</w:t>
      </w:r>
    </w:p>
    <w:p>
      <w:pPr>
        <w:pStyle w:val="Heading3"/>
      </w:pPr>
      <w:r>
        <w:t>37. ¿Hasta cuántos grados centígrados se puede hervir la leche materna para evitar la transmisión de éste agente?</w:t>
      </w:r>
    </w:p>
    <w:p>
      <w:r>
        <w:rPr>
          <w:b/>
        </w:rPr>
        <w:t xml:space="preserve">Respuesta correcta: </w:t>
      </w:r>
      <w:r>
        <w:t>&gt;63°C por 30 minutos</w:t>
      </w:r>
    </w:p>
    <w:p>
      <w:r>
        <w:rPr>
          <w:b/>
        </w:rPr>
        <w:t xml:space="preserve">Porqué: </w:t>
      </w:r>
      <w:r>
        <w:t>La infección congénita por citomegalovirus es la más frecuente de las infecciones connatales en méxico (0.6%) de los recién nacidos mexicanos. La clínica clásica se basa en coriorretinitis, microcefalia, calcificaciones periventriculares. Otros síntomas frecuentes son el bajo peso, restricción del crecimiento intrauterino, ictericia, petequias púrpura (sx de blueberry muffin). Para prevenir la transmisión del virus por la leche materna, se pude hervir a &gt;63°C por 30 minutos o congelar a -20°C por 24 horas, ya que inactiva al citomegalovirus y reduce la tasa de transmisión.</w:t>
      </w:r>
    </w:p>
    <w:p>
      <w:pPr>
        <w:pStyle w:val="Heading3"/>
      </w:pPr>
      <w:r>
        <w:t>38. ¿Qué probable diagnóstico podemos integrar?</w:t>
      </w:r>
    </w:p>
    <w:p>
      <w:r>
        <w:rPr>
          <w:b/>
        </w:rPr>
        <w:t xml:space="preserve">Respuesta correcta: </w:t>
      </w:r>
      <w:r>
        <w:t>Citomegalovirus congénito</w:t>
      </w:r>
    </w:p>
    <w:p>
      <w:r>
        <w:rPr>
          <w:b/>
        </w:rPr>
        <w:t xml:space="preserve">Porqué: </w:t>
      </w:r>
      <w:r>
        <w:t>La paciente presenta probablemente citomegalovirus congénito. La clínica clásica se basa en coriorretinitis, microcefalia, calcificaciones periventriculares. Otros síntomas frecuentes son el bajo peso, restricción del crecimiento intrauterino, ictericia, petequias púrpura (sx de blueberry muffin). El diagnóstico se establece mediante la detección del virus en orina, en cultivo y por PCR, siendo el más utilizado, con una sensibilidad del 94.5% y especificidad de 99%.</w:t>
      </w:r>
    </w:p>
    <w:p>
      <w:pPr>
        <w:pStyle w:val="Heading2"/>
      </w:pPr>
      <w:r>
        <w:t>Caso</w:t>
      </w:r>
    </w:p>
    <w:p>
      <w:r>
        <w:t>Paciente masculino de 35 años. Padres finados por accidente de tránsito hace 32 años. Sin antecedente de enfermedades crónico-degenerativas. Inicia su padecimiento actual desde hace 4 meses con sensación de cansancio; en las últimas 4 semanas ha presentado disnea al realizar esfuerzo, dolor de tipo anginoso, y el día de ayer presentó un síncope, por lo que decidió acudir a consulta. TA 122/81 mmHg, FC 95 lpm, FR 18 rpm, Temperatura 36.4 °C, SatO₂ 93%. A la exploración física se encuentra alerta, angustiado. Pulso carotídeo bisferiens. A la auscultación cardiaca, cuarto tono, soplo mesosistólic</w:t>
      </w:r>
    </w:p>
    <w:p>
      <w:pPr>
        <w:pStyle w:val="Heading3"/>
      </w:pPr>
      <w:r>
        <w:t>39. ¿Qué tipo de herencia presenta esta patología?</w:t>
      </w:r>
    </w:p>
    <w:p>
      <w:r>
        <w:rPr>
          <w:b/>
        </w:rPr>
        <w:t xml:space="preserve">Respuesta correcta: </w:t>
      </w:r>
      <w:r>
        <w:t>Herencia autosómica dominante</w:t>
      </w:r>
    </w:p>
    <w:p>
      <w:r>
        <w:rPr>
          <w:b/>
        </w:rPr>
        <w:t xml:space="preserve">Porqué: </w:t>
      </w:r>
      <w:r>
        <w:t>La causa principal de la Miocardiopatia hipetrofica es genética, transmitida en forma autosómica dominante. Usualmente se trata de un trastorno monogénico, con una variante genética que ocasiona una anomalía en el gen implicado en la patología y que puede ser detectable hasta en un 60% de los pacientes. En ellos es posible encontrar alguna mutación de los genes que codifican la proteína C3 de unión a la miosina cardiaca (MYBPC3) o la cadena pesada de la β-miosina 7 (MYH7).</w:t>
      </w:r>
    </w:p>
    <w:p>
      <w:pPr>
        <w:pStyle w:val="Heading3"/>
      </w:pPr>
      <w:r>
        <w:t>40. ¿Cuál es el porcentaje de pacientes que presentan síncope?</w:t>
      </w:r>
    </w:p>
    <w:p>
      <w:r>
        <w:rPr>
          <w:b/>
        </w:rPr>
        <w:t xml:space="preserve">Respuesta correcta: </w:t>
      </w:r>
      <w:r>
        <w:t>15-25 %</w:t>
      </w:r>
    </w:p>
    <w:p>
      <w:r>
        <w:rPr>
          <w:b/>
        </w:rPr>
        <w:t xml:space="preserve">Porqué: </w:t>
      </w:r>
      <w:r>
        <w:t>Aproximadamente el 15-25 % de los pacientes con miocardiopatía hipertrofia presentan al menos un episodio de síncope.</w:t>
      </w:r>
    </w:p>
    <w:p>
      <w:pPr>
        <w:pStyle w:val="Heading3"/>
      </w:pPr>
      <w:r>
        <w:t>41. En caso de tener un familiar afectado de primer grado. ¿Cuánto es el grosor del ventrículo izquierdo para realizar el diagnóstico?</w:t>
      </w:r>
    </w:p>
    <w:p>
      <w:r>
        <w:rPr>
          <w:b/>
        </w:rPr>
        <w:t xml:space="preserve">Respuesta correcta: </w:t>
      </w:r>
      <w:r>
        <w:t>13 mm</w:t>
      </w:r>
    </w:p>
    <w:p>
      <w:r>
        <w:rPr>
          <w:b/>
        </w:rPr>
        <w:t xml:space="preserve">Porqué: </w:t>
      </w:r>
      <w:r>
        <w:t>En familiares en primer grado de pacientes con diagnóstico inequívoco de Miocardiopatía hipertrófica se basa en un aumento del grosor de la pared del VI ≥ 13 mm en uno o más segmentos miocárdicos del ventrículo Izquierdo, medido por cualquier técnica de imagen miocárdica, en ausencia de una patología adyacente que condicione sobrecarga ventricular.</w:t>
      </w:r>
    </w:p>
    <w:p>
      <w:pPr>
        <w:pStyle w:val="Heading2"/>
      </w:pPr>
      <w:r>
        <w:t>Caso</w:t>
      </w:r>
    </w:p>
    <w:p>
      <w:r>
        <w:t xml:space="preserve">Paciente masculino de 75 años. Antecedente de diabetes mellitus tipo 2, en tratamiento con glibenclamida 10 mg cada 24 horas con moderado apego y control terapéutico. Es llevado por sus familiares al servicio de urgencias, ya que durante el transcurso del día se encontraba agitado, ansioso y con mucha sudoración, y cuando regresaron del trabajo lo encontraron con pérdida del estado de alerta. Signos vitales: TA 130/83 mmHg, FC 120 lpm, FR 22 rpm, Temperatura 36.5 °C, SatO₂ 90%, glucosa capilar 40 mg/dL. En la exploración física se encuentra letárgico con Escala de coma de Glasgow de 9 puntos. </w:t>
      </w:r>
    </w:p>
    <w:p>
      <w:pPr>
        <w:pStyle w:val="Heading3"/>
      </w:pPr>
      <w:r>
        <w:t>42. ¿A partir de qué nivel de glucosa sanguínea es considerado hipoglucemia en un paciente sin Diabetes mellitus?</w:t>
      </w:r>
    </w:p>
    <w:p>
      <w:r>
        <w:rPr>
          <w:b/>
        </w:rPr>
        <w:t xml:space="preserve">Respuesta correcta: </w:t>
      </w:r>
      <w:r>
        <w:t>54 mg/dL.</w:t>
      </w:r>
    </w:p>
    <w:p>
      <w:r>
        <w:rPr>
          <w:b/>
        </w:rPr>
        <w:t xml:space="preserve">Porqué: </w:t>
      </w:r>
      <w:r>
        <w:t>En pacientes adultos con diagnóstico de diabetes mellitus se considera hipoglucemia con una glucosa sanguínea de menos de 70 mg/dL. En pacientes adultos que no cuentan con el diagnóstico de diabetes mellitus se considera hipoglucemia con una glucosa sanguínea de menos de 54 mg/dL.</w:t>
      </w:r>
    </w:p>
    <w:p>
      <w:pPr>
        <w:pStyle w:val="Heading3"/>
      </w:pPr>
      <w:r>
        <w:t>43. Paciente refiere haber presentado síntomas típicos de hipoglucemias aunque la glucemia es mayor a 70 mg/dL. ¿Cómo la calificaría?</w:t>
      </w:r>
    </w:p>
    <w:p>
      <w:r>
        <w:rPr>
          <w:b/>
        </w:rPr>
        <w:t xml:space="preserve">Respuesta correcta: </w:t>
      </w:r>
      <w:r>
        <w:t>Pseudohipoglucemia.</w:t>
      </w:r>
    </w:p>
    <w:p>
      <w:r>
        <w:rPr>
          <w:b/>
        </w:rPr>
        <w:t xml:space="preserve">Porqué: </w:t>
      </w:r>
      <w:r>
        <w:t>Hipoglucemia grave: corresponde a un evento en el que el paciente requiere de la ayuda de otra persona para la toma de acciones correctivas del cuadro tales como la ministración de alimentos o medicamentos. Hipoglucemia sintomática probable: corresponde a un evento con síntomas típicos sin poder determinar la glucemia en plasma, pero que se presume menor a 70 mg/dL. Hipoglucemia sintomática documentada: corresponde a una determinación de glucosa inferior a 70 mg/dL en presencia de síntomas típicos (somnolencia o estupor, temblor, irritabilidad, confusión, hambre y taquicardia). Pseudohipoglucemia (hipoglucemia relativa). Situación en la que el paciente refiere haber tenido síntomas típicos de hipoglucemia, aunque la glucemia es &gt; 70 mg/dl.</w:t>
      </w:r>
    </w:p>
    <w:p>
      <w:pPr>
        <w:pStyle w:val="Heading3"/>
      </w:pPr>
      <w:r>
        <w:t>44. ¿Cuál es el mecanismo de acción de la glibenclamida?</w:t>
      </w:r>
    </w:p>
    <w:p>
      <w:r>
        <w:rPr>
          <w:b/>
        </w:rPr>
        <w:t xml:space="preserve">Respuesta correcta: </w:t>
      </w:r>
      <w:r>
        <w:t>Estimula las células β pancreáticas al bloquear los canales de K sensibles a ATP, lo que da lugar a la despolarización, entrada de Ca y exocitosis de insulina.</w:t>
      </w:r>
    </w:p>
    <w:p>
      <w:r>
        <w:rPr>
          <w:b/>
        </w:rPr>
        <w:t xml:space="preserve">Porqué: </w:t>
      </w:r>
      <w:r>
        <w:t>Estimula la liberación de insulina por las células β pancreáticas al bloquear los canales de K sensibles a ATP, lo que da lugar a la despolarización, entrada de Ca y exocitosis de insulina.</w:t>
      </w:r>
    </w:p>
    <w:p>
      <w:pPr>
        <w:pStyle w:val="Heading2"/>
      </w:pPr>
      <w:r>
        <w:t>Caso</w:t>
      </w:r>
    </w:p>
    <w:p>
      <w:r>
        <w:t>Femenina de 29 años de edad acude al servicio de urgencias por sufrir una quemadura por fuego directo en mano y antebrazo derecho de 1 hr de evolución. Sin antecedentes médicos de importancia. A la exploración física se observa paciente con facies dolorosas, estable, quemaduras de segundo grado superficial en zona descrita, sin más lesiones aparentes.</w:t>
      </w:r>
    </w:p>
    <w:p>
      <w:pPr>
        <w:pStyle w:val="Heading3"/>
      </w:pPr>
      <w:r>
        <w:t>45. Cuál de los siguientes parámetros es indicación para derivar a un nivel especializado de atención?</w:t>
      </w:r>
    </w:p>
    <w:p>
      <w:r>
        <w:rPr>
          <w:b/>
        </w:rPr>
        <w:t xml:space="preserve">Respuesta correcta: </w:t>
      </w:r>
      <w:r>
        <w:t>Quemadura de 2do grado en mano</w:t>
      </w:r>
    </w:p>
    <w:p>
      <w:r>
        <w:rPr>
          <w:b/>
        </w:rPr>
        <w:t xml:space="preserve">Porqué: </w:t>
      </w:r>
      <w:r>
        <w:t>Indicaciones de referencia a 3er nivel por quemaduras: *Pacientes &lt;2 años o adultos &gt;65 con quemaduras AB-B (2º profundo) o B (3º) que sea &gt;10% de SCQ *Cualquier paciente con quemaduras tipo AB-B (2º profundo) o B (3º) &gt;20% de SCQ *Quemaduras tipo AB o B (2º o 3º) de áreas especiales (Cara, manos, pies, genitales, perineo) *Quemaduras tipo B (3er grado) &gt;10% en cualquier grupo de edad *Quemaduras eléctricas *Quemaduras químicas *Quemadura de vías aéreas *Quemaduras en pacientes con enfermedad previa que pueden complicar el manejo, prolongar la recuperación o afectar la mortalidad *Cualquier paciente con quemaduras y trauma concomitante (como fracturas) en quienes la quemadura incrementa el riesgo de morbilidad y mortalidad *Lesiones que no han sanado en &gt;14 días o con presencia tardía de dolor, fiebre y exudados</w:t>
      </w:r>
    </w:p>
    <w:p>
      <w:pPr>
        <w:pStyle w:val="Heading3"/>
      </w:pPr>
      <w:r>
        <w:t>46. Cuál de los siguientes tratamientos usaría en esta paciente?</w:t>
      </w:r>
    </w:p>
    <w:p>
      <w:r>
        <w:rPr>
          <w:b/>
        </w:rPr>
        <w:t xml:space="preserve">Respuesta correcta: </w:t>
      </w:r>
      <w:r>
        <w:t>Biobrane</w:t>
      </w:r>
    </w:p>
    <w:p>
      <w:r>
        <w:rPr>
          <w:b/>
        </w:rPr>
        <w:t xml:space="preserve">Porqué: </w:t>
      </w:r>
      <w:r>
        <w:t>La GPC de gran quemado menciona que hay muchas opciones que coberturas biológicas y sintéticas (aloe vera, biobrane, Aquacell Hg, Acticoat) las cuales han demostrado ser superiores en la cicatrización, manejo del dolor y tiempo de recuperación, en comparación con la sulfadiacina argéntica que mucho tiempo fue utilizada para el tratamiento de quemaduras. El oxígeno hiperbárico, terapia de presión negativa, heparina tópica u oxigenoterapia son terapias que no se ha demostrado tengan utilidad en el manejo de las quemaduras.</w:t>
      </w:r>
    </w:p>
    <w:p>
      <w:pPr>
        <w:pStyle w:val="Heading3"/>
      </w:pPr>
      <w:r>
        <w:t>47. De acuerdo al tipo de quemadura, cuánto tiempo tardará en epitelizar?</w:t>
      </w:r>
    </w:p>
    <w:p>
      <w:r>
        <w:rPr>
          <w:b/>
        </w:rPr>
        <w:t xml:space="preserve">Respuesta correcta: </w:t>
      </w:r>
      <w:r>
        <w:t>‹14 días</w:t>
      </w:r>
    </w:p>
    <w:p>
      <w:r>
        <w:rPr>
          <w:b/>
        </w:rPr>
        <w:t xml:space="preserve">Porqué: </w:t>
      </w:r>
      <w:r>
        <w:t>Las quemaduras de 2do grado superficial tardan menos de dos semanas en epitelizar. Las quemaduras de 1er grado sanan en 7 días. Las de 2do grado profundo habitualmente terminan en injerto con secuelas estéticas y/o funcionales. Las de 3er grado requieren escarectomía precoz e injertos o colgajos.</w:t>
      </w:r>
    </w:p>
    <w:p>
      <w:pPr>
        <w:pStyle w:val="Heading2"/>
      </w:pPr>
      <w:r>
        <w:t>Caso</w:t>
      </w:r>
    </w:p>
    <w:p>
      <w:r>
        <w:t xml:space="preserve">A 41-year-old woman presents to the clinic with a facial rash that has persisted for the past nine months. She describes it as intermittent, noting that it waxes and wanes but never fully resolves. The patient reports a tingling and burning sensation over the affected area, particularly after sun exposure, such as when spending time in her garden during the day. She also notes that the facial flushing worsened after drinking a glass of wine the previous evening. She has tried high-potency sunscreen and various over-the-counter emollients without significant improvement. She denies joint pain, </w:t>
      </w:r>
    </w:p>
    <w:p>
      <w:pPr>
        <w:pStyle w:val="Heading3"/>
      </w:pPr>
      <w:r>
        <w:t>48. Which of the following is the most likely diagnosis in this patient?</w:t>
      </w:r>
    </w:p>
    <w:p>
      <w:r>
        <w:rPr>
          <w:b/>
        </w:rPr>
        <w:t xml:space="preserve">Respuesta correcta: </w:t>
      </w:r>
      <w:r>
        <w:t>Rosacea</w:t>
      </w:r>
    </w:p>
    <w:p>
      <w:r>
        <w:rPr>
          <w:b/>
        </w:rPr>
        <w:t xml:space="preserve">Porqué: </w:t>
      </w:r>
      <w:r>
        <w:t>Esta paciente presenta una erupción facial central y roja que involucra los pliegues nasolabiales, junto con pápulas en la nariz, telangiectasias y enrojecimiento facial con exposición al sol e ingesta de alcohol; esta presentación es consistente con la rosácea que es un trastorno inflamatorio de la piel facial que afecta típicamente a personas de piel clara. La etiología exacta es desconocida, pero se cree que la afección resulta de una respuesta inflamatoria crónica a microorganismos cutáneos, como demodex, radiación ultravioleta y disfunción vascular. Los síntomas pueden empeorar con el consumo de alcohol, exposición al sol, temperaturas extremas, alimentos picantes y bebidas calientes.</w:t>
      </w:r>
    </w:p>
    <w:p>
      <w:pPr>
        <w:pStyle w:val="Heading3"/>
      </w:pPr>
      <w:r>
        <w:t>49. Wich phenotype of the disease this patient has?</w:t>
      </w:r>
    </w:p>
    <w:p>
      <w:r>
        <w:rPr>
          <w:b/>
        </w:rPr>
        <w:t xml:space="preserve">Respuesta correcta: </w:t>
      </w:r>
      <w:r>
        <w:t>Erythematotelangiectatic rosacea</w:t>
      </w:r>
    </w:p>
    <w:p>
      <w:r>
        <w:rPr>
          <w:b/>
        </w:rPr>
        <w:t xml:space="preserve">Porqué: </w:t>
      </w:r>
      <w:r>
        <w:t>La rosácea se presenta en 4 fenotipos diferentes, con tratamientos diferentes a saber: 1.- Eritematotelangiectásica: Eritema centrofacial y telangiectasias. Tratamiento con brimonidina, láser pulsado. 2.- Papulopustular: Pápulas y pústulas sin comedones. Tratamiento con metronidazol tópico, ivermectina o ácido azeláico. 3.- Ocular: Hiperemia conjuntival y telangiectasia palpebral. Tratamiento con lubricantes y antibióticos tópicos o sistémicos. 4.- Rinofímica: Hiperplasia de tejidos blandos, en especial la nariz. Tratamiento con isotretinoína oral, láser o cirugía.</w:t>
      </w:r>
    </w:p>
    <w:p>
      <w:pPr>
        <w:pStyle w:val="Heading2"/>
      </w:pPr>
      <w:r>
        <w:t>Caso</w:t>
      </w:r>
    </w:p>
    <w:p>
      <w:r>
        <w:t>Se trata de paciente femenino, producto de gesta de 36 SDG.</w:t>
      </w:r>
    </w:p>
    <w:p>
      <w:pPr>
        <w:pStyle w:val="Heading3"/>
      </w:pPr>
      <w:r>
        <w:t>50. ¿Cómo clasificaría a esta paciente?</w:t>
      </w:r>
    </w:p>
    <w:p>
      <w:r>
        <w:rPr>
          <w:b/>
        </w:rPr>
        <w:t xml:space="preserve">Respuesta correcta: </w:t>
      </w:r>
      <w:r>
        <w:t>Recién nacido prematuro</w:t>
      </w:r>
    </w:p>
    <w:p>
      <w:r>
        <w:rPr>
          <w:b/>
        </w:rPr>
        <w:t xml:space="preserve">Porqué: </w:t>
      </w:r>
      <w:r>
        <w:t>Prematuro extremo: &lt;28 SDG Prematuro: &lt;36 SDG A término: 37-41 SDG Postermino: &gt;42 SDG</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ENARM Master — registro personal de estudio</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erpoDoc">
    <w:name w:val="CuerpoDoc"/>
    <w:basedOn w:val="Normal"/>
    <w:rPr>
      <w:rFonts w:ascii="Calibri" w:hAnsi="Calibri"/>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