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Entrenamiento ENARM — Medicina Interna</w:t>
      </w:r>
    </w:p>
    <w:p>
      <w:pPr>
        <w:jc w:val="center"/>
      </w:pPr>
      <w:r>
        <w:rPr>
          <w:rFonts w:ascii="Arial" w:hAnsi="Arial"/>
          <w:b/>
          <w:sz w:val="28"/>
        </w:rPr>
        <w:t>Sesión de mañana (2 temas) — 17 de julio de 2026</w:t>
      </w:r>
    </w:p>
    <w:p/>
    <w:p>
      <w:r>
        <w:rPr>
          <w:rFonts w:ascii="Arial" w:hAnsi="Arial"/>
          <w:b/>
          <w:sz w:val="26"/>
        </w:rPr>
        <w:t>Tema: Diabetes Mellitus Tipo 2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Representa el 90–95% de los casos de diabetes. Alta prevalencia en México (20–22%). Asociada a sobrepeso, obesidad y envejecimiento.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Curso frecuentemente asintomático durante años. Cuando hay síntomas: poliuria, polidipsia, polifagia, fatiga, pérdida de peso, infecciones recurrentes.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Resistencia a la insulina, disminución de la secreción de insulina, glucotoxicidad/lipotoxicidad que dañan órganos diana.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Poliuria, polidipsia, polifagia, fatiga, pérdida de peso, infecciones recurrentes, visión borrosa. Puede ser asintomática.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Glucosa en ayuno ≥126 mg/dL; glucosa 2h poscarga ≥200 mg/dL; glucosa aleatoria ≥200 mg/dL + síntomas; HbA1c ≥6.5%.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Primera línea: metformina. Segunda línea según riesgo CV: inhibidores SGLT2, DPP-4, agonistas GLP-1, sulfonilureas. Metas: HbA1c &lt;7%, PA &lt;130/80, LDL &lt;100 mg/dL.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Diabetes mellitus tipo 1; diabetes secundaria (fármacos, endocrinopatías); síndrome metabólico.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Paciente masculino de 52 años, obeso, sediento, poliúrico de 3 meses. Glucosa en ayuno 142 mg/dL, HbA1c 7.2%. ¿Diagnóstico más probable?</w:t>
      </w:r>
    </w:p>
    <w:p>
      <w:r>
        <w:rPr>
          <w:rFonts w:ascii="Arial" w:hAnsi="Arial"/>
          <w:b w:val="0"/>
          <w:sz w:val="24"/>
        </w:rPr>
        <w:t>A) Diabetes mellitus tipo 1</w:t>
      </w:r>
    </w:p>
    <w:p>
      <w:r>
        <w:rPr>
          <w:rFonts w:ascii="Arial" w:hAnsi="Arial"/>
          <w:b w:val="0"/>
          <w:sz w:val="24"/>
        </w:rPr>
        <w:t>B) Diabetes mellitus tipo 2</w:t>
      </w:r>
    </w:p>
    <w:p>
      <w:r>
        <w:rPr>
          <w:rFonts w:ascii="Arial" w:hAnsi="Arial"/>
          <w:b w:val="0"/>
          <w:sz w:val="24"/>
        </w:rPr>
        <w:t>C) Diabetes gestacional</w:t>
      </w:r>
    </w:p>
    <w:p>
      <w:r>
        <w:rPr>
          <w:rFonts w:ascii="Arial" w:hAnsi="Arial"/>
          <w:b w:val="0"/>
          <w:sz w:val="24"/>
        </w:rPr>
        <w:t>D) Diabetes secundaria a corticoides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Paciente adulto &gt;40 años, obeso, curso insidioso, HbA1c ≥6.5% y glucosa en ayuno ≥126 mg/dL = DM2. DM1: juvenil, cetoacidosis. DM gestacional: solo en embarazo.</w:t>
      </w:r>
    </w:p>
    <w:p>
      <w:r>
        <w:rPr>
          <w:rFonts w:ascii="Arial" w:hAnsi="Arial"/>
          <w:b/>
          <w:sz w:val="24"/>
        </w:rPr>
        <w:t>Sesgo que activa: Anclaje — pensar en DM1 por diabetes sin considerar edad y epidemiología.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con DM2 recién diagnosticado, IMC 32, sin comorbilidades cardiovasculares. ¿Farmaco de primera línea?</w:t>
      </w:r>
    </w:p>
    <w:p>
      <w:r>
        <w:rPr>
          <w:rFonts w:ascii="Arial" w:hAnsi="Arial"/>
          <w:b w:val="0"/>
          <w:sz w:val="24"/>
        </w:rPr>
        <w:t>A) Insulina basal</w:t>
      </w:r>
    </w:p>
    <w:p>
      <w:r>
        <w:rPr>
          <w:rFonts w:ascii="Arial" w:hAnsi="Arial"/>
          <w:b w:val="0"/>
          <w:sz w:val="24"/>
        </w:rPr>
        <w:t>B) Metformina</w:t>
      </w:r>
    </w:p>
    <w:p>
      <w:r>
        <w:rPr>
          <w:rFonts w:ascii="Arial" w:hAnsi="Arial"/>
          <w:b w:val="0"/>
          <w:sz w:val="24"/>
        </w:rPr>
        <w:t>C) Glipizida</w:t>
      </w:r>
    </w:p>
    <w:p>
      <w:r>
        <w:rPr>
          <w:rFonts w:ascii="Arial" w:hAnsi="Arial"/>
          <w:b w:val="0"/>
          <w:sz w:val="24"/>
        </w:rPr>
        <w:t>D) Empagliflozina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Metformina es primera línea en DM2 según GPC mexicana, salvo contraindicaciones (insuficiencia renal, acidosis).</w:t>
      </w:r>
    </w:p>
    <w:p>
      <w:r>
        <w:rPr>
          <w:rFonts w:ascii="Arial" w:hAnsi="Arial"/>
          <w:b/>
          <w:sz w:val="24"/>
        </w:rPr>
        <w:t>Sesgo que activa: Disponibilidad — pensar en empagliflozina por novedad sin seguir jerarquía de líneas.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Paciente con DM2, HbA1c 8.5%, ya en metformina máxima. ¿Próximo paso?</w:t>
      </w:r>
    </w:p>
    <w:p>
      <w:r>
        <w:rPr>
          <w:rFonts w:ascii="Arial" w:hAnsi="Arial"/>
          <w:b w:val="0"/>
          <w:sz w:val="24"/>
        </w:rPr>
        <w:t>A) Aumentar dosis de metformina</w:t>
      </w:r>
    </w:p>
    <w:p>
      <w:r>
        <w:rPr>
          <w:rFonts w:ascii="Arial" w:hAnsi="Arial"/>
          <w:b w:val="0"/>
          <w:sz w:val="24"/>
        </w:rPr>
        <w:t>B) Agregar inhibidor de SGLT2 o agonista GLP-1</w:t>
      </w:r>
    </w:p>
    <w:p>
      <w:r>
        <w:rPr>
          <w:rFonts w:ascii="Arial" w:hAnsi="Arial"/>
          <w:b w:val="0"/>
          <w:sz w:val="24"/>
        </w:rPr>
        <w:t>C) Cambiar a insulina basal</w:t>
      </w:r>
    </w:p>
    <w:p>
      <w:r>
        <w:rPr>
          <w:rFonts w:ascii="Arial" w:hAnsi="Arial"/>
          <w:b w:val="0"/>
          <w:sz w:val="24"/>
        </w:rPr>
        <w:t>D) Solo manejo no farmacológico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Si metformina máxima no alcanza meta (&lt;7%), segunda línea según riesgo CV, IMC y costo. SGLT2 o GLP-1 si riesgo CV o IMC alto.</w:t>
      </w:r>
    </w:p>
    <w:p>
      <w:r>
        <w:rPr>
          <w:rFonts w:ascii="Arial" w:hAnsi="Arial"/>
          <w:b/>
          <w:sz w:val="24"/>
        </w:rPr>
        <w:t>Sesgo que activa: Cierre prematuro — saltar a insulina sin intentar segunda línea oral/inyectable no insulínica.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con DM2, HbA1c 6.8%, LDL 130 mg/dL, PA 138/86. ¿Meta de LDL según GPC?</w:t>
      </w:r>
    </w:p>
    <w:p>
      <w:r>
        <w:rPr>
          <w:rFonts w:ascii="Arial" w:hAnsi="Arial"/>
          <w:b w:val="0"/>
          <w:sz w:val="24"/>
        </w:rPr>
        <w:t>A) &lt;130 mg/dL</w:t>
      </w:r>
    </w:p>
    <w:p>
      <w:r>
        <w:rPr>
          <w:rFonts w:ascii="Arial" w:hAnsi="Arial"/>
          <w:b w:val="0"/>
          <w:sz w:val="24"/>
        </w:rPr>
        <w:t>B) &lt;100 mg/dL</w:t>
      </w:r>
    </w:p>
    <w:p>
      <w:r>
        <w:rPr>
          <w:rFonts w:ascii="Arial" w:hAnsi="Arial"/>
          <w:b w:val="0"/>
          <w:sz w:val="24"/>
        </w:rPr>
        <w:t>C) &lt;70 mg/dL</w:t>
      </w:r>
    </w:p>
    <w:p>
      <w:r>
        <w:rPr>
          <w:rFonts w:ascii="Arial" w:hAnsi="Arial"/>
          <w:b w:val="0"/>
          <w:sz w:val="24"/>
        </w:rPr>
        <w:t>D) &lt;55 mg/dL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Meta LDL &lt;100 mg/dL en DM2 sin evento CV previo. &lt;70 si riesgo cardiovascular alto o evento previo.</w:t>
      </w:r>
    </w:p>
    <w:p>
      <w:r>
        <w:rPr>
          <w:rFonts w:ascii="Arial" w:hAnsi="Arial"/>
          <w:b/>
          <w:sz w:val="24"/>
        </w:rPr>
        <w:t>Sesgo que activa: Prevalencia base — pensar en meta general de población sin ajustar a DM2.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Adulto mayor de 78 años con DM2, fragilidad, demencia leve. ¿Meta de HbA1c?</w:t>
      </w:r>
    </w:p>
    <w:p>
      <w:r>
        <w:rPr>
          <w:rFonts w:ascii="Arial" w:hAnsi="Arial"/>
          <w:b w:val="0"/>
          <w:sz w:val="24"/>
        </w:rPr>
        <w:t>A) &lt;6.5%</w:t>
      </w:r>
    </w:p>
    <w:p>
      <w:r>
        <w:rPr>
          <w:rFonts w:ascii="Arial" w:hAnsi="Arial"/>
          <w:b w:val="0"/>
          <w:sz w:val="24"/>
        </w:rPr>
        <w:t>B) &lt;7%</w:t>
      </w:r>
    </w:p>
    <w:p>
      <w:r>
        <w:rPr>
          <w:rFonts w:ascii="Arial" w:hAnsi="Arial"/>
          <w:b w:val="0"/>
          <w:sz w:val="24"/>
        </w:rPr>
        <w:t>C) 7.5–8.5%</w:t>
      </w:r>
    </w:p>
    <w:p>
      <w:r>
        <w:rPr>
          <w:rFonts w:ascii="Arial" w:hAnsi="Arial"/>
          <w:b w:val="0"/>
          <w:sz w:val="24"/>
        </w:rPr>
        <w:t>D) &lt;10%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Adultos mayores frágiles: individualizar metas HbA1c 7.5–8.5%, menor agresividad para evitar hipoglucemias.</w:t>
      </w:r>
    </w:p>
    <w:p>
      <w:r>
        <w:rPr>
          <w:rFonts w:ascii="Arial" w:hAnsi="Arial"/>
          <w:b/>
          <w:sz w:val="24"/>
        </w:rPr>
        <w:t>Sesgo que activa: Sobreconfianza — aplicar metas de adulto joven sin considerar fragilidad.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con DM2 prediagnóstico (ayuno 108 mg/dL, HbA1c 5.9%), IMC 29, edad 55 años. ¿Intervención para prevenir DM2?</w:t>
      </w:r>
    </w:p>
    <w:p>
      <w:r>
        <w:rPr>
          <w:rFonts w:ascii="Arial" w:hAnsi="Arial"/>
          <w:b w:val="0"/>
          <w:sz w:val="24"/>
        </w:rPr>
        <w:t>A) Insulina profiláctica</w:t>
      </w:r>
    </w:p>
    <w:p>
      <w:r>
        <w:rPr>
          <w:rFonts w:ascii="Arial" w:hAnsi="Arial"/>
          <w:b w:val="0"/>
          <w:sz w:val="24"/>
        </w:rPr>
        <w:t>B) Metformina</w:t>
      </w:r>
    </w:p>
    <w:p>
      <w:r>
        <w:rPr>
          <w:rFonts w:ascii="Arial" w:hAnsi="Arial"/>
          <w:b w:val="0"/>
          <w:sz w:val="24"/>
        </w:rPr>
        <w:t>C) Solo ejercicio</w:t>
      </w:r>
    </w:p>
    <w:p>
      <w:r>
        <w:rPr>
          <w:rFonts w:ascii="Arial" w:hAnsi="Arial"/>
          <w:b w:val="0"/>
          <w:sz w:val="24"/>
        </w:rPr>
        <w:t>D) Sulfonilureas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Prediabetes con IMC alto o edad &lt;60 años: metformina para prevención según GPC, además de cambios de estilo de vida.</w:t>
      </w:r>
    </w:p>
    <w:p>
      <w:r>
        <w:rPr>
          <w:rFonts w:ascii="Arial" w:hAnsi="Arial"/>
          <w:b/>
          <w:sz w:val="24"/>
        </w:rPr>
        <w:t>Sesgo que activa: Disponibilidad — pensar solo en ejercicio sin considerar metformina en prediabetes de alto riesgo.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Mujer con DM2, poliuria, visión borrosa, infección vaginal recurrente por Candida. ¿Complicación microvascular temprana?</w:t>
      </w:r>
    </w:p>
    <w:p>
      <w:r>
        <w:rPr>
          <w:rFonts w:ascii="Arial" w:hAnsi="Arial"/>
          <w:b w:val="0"/>
          <w:sz w:val="24"/>
        </w:rPr>
        <w:t>A) Nefropatía terminal</w:t>
      </w:r>
    </w:p>
    <w:p>
      <w:r>
        <w:rPr>
          <w:rFonts w:ascii="Arial" w:hAnsi="Arial"/>
          <w:b w:val="0"/>
          <w:sz w:val="24"/>
        </w:rPr>
        <w:t>B) Retinopatía proliferante</w:t>
      </w:r>
    </w:p>
    <w:p>
      <w:r>
        <w:rPr>
          <w:rFonts w:ascii="Arial" w:hAnsi="Arial"/>
          <w:b w:val="0"/>
          <w:sz w:val="24"/>
        </w:rPr>
        <w:t>C) Neuropatía periférica</w:t>
      </w:r>
    </w:p>
    <w:p>
      <w:r>
        <w:rPr>
          <w:rFonts w:ascii="Arial" w:hAnsi="Arial"/>
          <w:b w:val="0"/>
          <w:sz w:val="24"/>
        </w:rPr>
        <w:t>D) Infecciones recurrentes</w:t>
      </w:r>
    </w:p>
    <w:p>
      <w:r>
        <w:rPr>
          <w:rFonts w:ascii="Arial" w:hAnsi="Arial"/>
          <w:b/>
          <w:sz w:val="24"/>
        </w:rPr>
        <w:t>Respuesta: D</w:t>
      </w:r>
    </w:p>
    <w:p>
      <w:r>
        <w:rPr>
          <w:rFonts w:ascii="Arial" w:hAnsi="Arial"/>
          <w:b w:val="0"/>
          <w:sz w:val="24"/>
        </w:rPr>
        <w:t>Explicación: Infecciones recurrentes (candidiasis genital, pie diabético) son complicación infecciosa temprana. Retinopatía/nefropatía/neuropatía requieren años de evolución.</w:t>
      </w:r>
    </w:p>
    <w:p>
      <w:r>
        <w:rPr>
          <w:rFonts w:ascii="Arial" w:hAnsi="Arial"/>
          <w:b/>
          <w:sz w:val="24"/>
        </w:rPr>
        <w:t>Sesgo que activa: Cierre prematuro — saltar a complicaciones microvasculares clásicas sin considerar infecciones.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DM2 en metformina, creatinina 1.8 mg/dL, TFG 42 mL/min. ¿Manejo de metformina?</w:t>
      </w:r>
    </w:p>
    <w:p>
      <w:r>
        <w:rPr>
          <w:rFonts w:ascii="Arial" w:hAnsi="Arial"/>
          <w:b w:val="0"/>
          <w:sz w:val="24"/>
        </w:rPr>
        <w:t>A) Continuar dosis actual</w:t>
      </w:r>
    </w:p>
    <w:p>
      <w:r>
        <w:rPr>
          <w:rFonts w:ascii="Arial" w:hAnsi="Arial"/>
          <w:b w:val="0"/>
          <w:sz w:val="24"/>
        </w:rPr>
        <w:t>B) Reducir a 1000 mg/día</w:t>
      </w:r>
    </w:p>
    <w:p>
      <w:r>
        <w:rPr>
          <w:rFonts w:ascii="Arial" w:hAnsi="Arial"/>
          <w:b w:val="0"/>
          <w:sz w:val="24"/>
        </w:rPr>
        <w:t>C) Suspender metformina</w:t>
      </w:r>
    </w:p>
    <w:p>
      <w:r>
        <w:rPr>
          <w:rFonts w:ascii="Arial" w:hAnsi="Arial"/>
          <w:b w:val="0"/>
          <w:sz w:val="24"/>
        </w:rPr>
        <w:t>D) Cambiar a insulina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Metformina contraindicada si TFG &lt;45 mL/min o creatinina elevada con riesgo de acidosis láctica.</w:t>
      </w:r>
    </w:p>
    <w:p>
      <w:r>
        <w:rPr>
          <w:rFonts w:ascii="Arial" w:hAnsi="Arial"/>
          <w:b/>
          <w:sz w:val="24"/>
        </w:rPr>
        <w:t>Sesgo que activa: Anclaje — continuar metformina por haberla usado sin revisar función renal.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Paciente DM2, HbA1c 7.1%, PA 128/82, sin proteinuria. ¿Meta de presión arterial?</w:t>
      </w:r>
    </w:p>
    <w:p>
      <w:r>
        <w:rPr>
          <w:rFonts w:ascii="Arial" w:hAnsi="Arial"/>
          <w:b w:val="0"/>
          <w:sz w:val="24"/>
        </w:rPr>
        <w:t>A) &lt;140/90 mmHg</w:t>
      </w:r>
    </w:p>
    <w:p>
      <w:r>
        <w:rPr>
          <w:rFonts w:ascii="Arial" w:hAnsi="Arial"/>
          <w:b w:val="0"/>
          <w:sz w:val="24"/>
        </w:rPr>
        <w:t>B) &lt;130/80 mmHg</w:t>
      </w:r>
    </w:p>
    <w:p>
      <w:r>
        <w:rPr>
          <w:rFonts w:ascii="Arial" w:hAnsi="Arial"/>
          <w:b w:val="0"/>
          <w:sz w:val="24"/>
        </w:rPr>
        <w:t>C) &lt;120/80 mmHg</w:t>
      </w:r>
    </w:p>
    <w:p>
      <w:r>
        <w:rPr>
          <w:rFonts w:ascii="Arial" w:hAnsi="Arial"/>
          <w:b w:val="0"/>
          <w:sz w:val="24"/>
        </w:rPr>
        <w:t>D) &lt;150/90 mmHg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Meta PA &lt;130/80 mmHg en DM2 para reducir riesgo cardiovascular y renal.</w:t>
      </w:r>
    </w:p>
    <w:p>
      <w:r>
        <w:rPr>
          <w:rFonts w:ascii="Arial" w:hAnsi="Arial"/>
          <w:b/>
          <w:sz w:val="24"/>
        </w:rPr>
        <w:t>Sesgo que activa: Prevalencia base — pensar en meta general &lt;140/90 sin ajustar a DM2.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DM2 con pie diabético, úlcera plantar purulenta, edema, eritema. ¿Agente más probable?</w:t>
      </w:r>
    </w:p>
    <w:p>
      <w:r>
        <w:rPr>
          <w:rFonts w:ascii="Arial" w:hAnsi="Arial"/>
          <w:b w:val="0"/>
          <w:sz w:val="24"/>
        </w:rPr>
        <w:t>A) Streptococcus pneumoniae</w:t>
      </w:r>
    </w:p>
    <w:p>
      <w:r>
        <w:rPr>
          <w:rFonts w:ascii="Arial" w:hAnsi="Arial"/>
          <w:b w:val="0"/>
          <w:sz w:val="24"/>
        </w:rPr>
        <w:t>B) Staphylococcus aureus y Streptococcus agalactiae</w:t>
      </w:r>
    </w:p>
    <w:p>
      <w:r>
        <w:rPr>
          <w:rFonts w:ascii="Arial" w:hAnsi="Arial"/>
          <w:b w:val="0"/>
          <w:sz w:val="24"/>
        </w:rPr>
        <w:t>C) Pseudomonas aeruginosa sola</w:t>
      </w:r>
    </w:p>
    <w:p>
      <w:r>
        <w:rPr>
          <w:rFonts w:ascii="Arial" w:hAnsi="Arial"/>
          <w:b w:val="0"/>
          <w:sz w:val="24"/>
        </w:rPr>
        <w:t>D) Mycobacterium tuberculosis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Pie diabético: polimicrobiano. Grampositivos (S. aureus, estreptococos) más frecuentes en infección no hospitalaria. Pseudomonas en infecciones nosocomiales o postquirúrgicas.</w:t>
      </w:r>
    </w:p>
    <w:p>
      <w:r>
        <w:rPr>
          <w:rFonts w:ascii="Arial" w:hAnsi="Arial"/>
          <w:b/>
          <w:sz w:val="24"/>
        </w:rPr>
        <w:t>Sesgo que activa: Disponibilidad — pensar en Pseudomonas por ser patógeno hospitalario frecuente.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Infarto Agudo de Miocardio con Elevación del ST (IAMCEST)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Primera causa de muerte en hombres en México (12.6%). Factores de riesgo: HTA (60%), tabaquismo (46%), DM2 (45%), dislipidemia (35%).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Inicio agudo, dolor &gt;20 minutos. Incidencia máxima entre 6 am y mediodía. Factor desencadenante en 50% (ejercicio, estrés).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Ruptura/erosión de placa aterosclerótica → trombo oclusivo/suboclusivo (tipo 1). Aterotrombosis = mecanismo principal.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Dolor torácico retroesternal opresivo, intenso, prolongado &gt;20 min. Irradiación a brazo izquierdo, espalda, cuello, mandíbula. Sudoración, náuseas, disnea. Hasta 30% presenta síntomas atípicos (mujeres).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ECG: elevación ST ≥0.1 mV en 2 derivaciones contiguas (excepto V2-V3 con umbrales específicos). Troponinas I/T &gt;percentil 99. Clasificación Killip I-IV. Escala TIMI para estratificación.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Reperfusión: ICP primaria preferida si tiempo puerta-balón ≤60-90 min. Fibrinólisis si no hay ICP (tenecteplasa según peso). AAS + clopidogrel, heparina. Betabloqueadores, IECA, atorvastatina 80 mg. Oxígeno solo si SatO2 &lt;90%.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Angina estable, síndrome coronario agudo sin elevación del ST, pericarditis aguda, disección aórtica, neumotórax, embolia pulmonar.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Hombre de 58 años, tabaquista, diabético, dolor torácico opresivo retroesternal 45 min, irradiado a brazo izquierdo, sudoración. ECG: elevación ST en V1-V4. ¿Diagnóstico?</w:t>
      </w:r>
    </w:p>
    <w:p>
      <w:r>
        <w:rPr>
          <w:rFonts w:ascii="Arial" w:hAnsi="Arial"/>
          <w:b w:val="0"/>
          <w:sz w:val="24"/>
        </w:rPr>
        <w:t>A) Angina estable</w:t>
      </w:r>
    </w:p>
    <w:p>
      <w:r>
        <w:rPr>
          <w:rFonts w:ascii="Arial" w:hAnsi="Arial"/>
          <w:b w:val="0"/>
          <w:sz w:val="24"/>
        </w:rPr>
        <w:t>B) IAMCEST anteroseptal</w:t>
      </w:r>
    </w:p>
    <w:p>
      <w:r>
        <w:rPr>
          <w:rFonts w:ascii="Arial" w:hAnsi="Arial"/>
          <w:b w:val="0"/>
          <w:sz w:val="24"/>
        </w:rPr>
        <w:t>C) Pericarditis aguda</w:t>
      </w:r>
    </w:p>
    <w:p>
      <w:r>
        <w:rPr>
          <w:rFonts w:ascii="Arial" w:hAnsi="Arial"/>
          <w:b w:val="0"/>
          <w:sz w:val="24"/>
        </w:rPr>
        <w:t>D) Síndrome coronario agudo sin elevación del ST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Dolor &gt;20 min + elevación ST en V1-V4 (anteroseptal) + factores de riesgo = IAMCEST. Angina estable: dolor &lt;20 min, sin elevación ST. Pericarditis: elevación difusa concava, frote.</w:t>
      </w:r>
    </w:p>
    <w:p>
      <w:r>
        <w:rPr>
          <w:rFonts w:ascii="Arial" w:hAnsi="Arial"/>
          <w:b/>
          <w:sz w:val="24"/>
        </w:rPr>
        <w:t>Sesgo que activa: Anclaje — pensar en angina por dolor torácico sin considerar duración y ECG.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con IAMCEST inferior (II, III, aVF), hipotensión, bradicardia, elevación ST en V3R-V4R. ¿Localización asociada?</w:t>
      </w:r>
    </w:p>
    <w:p>
      <w:r>
        <w:rPr>
          <w:rFonts w:ascii="Arial" w:hAnsi="Arial"/>
          <w:b w:val="0"/>
          <w:sz w:val="24"/>
        </w:rPr>
        <w:t>A) Infarto lateral</w:t>
      </w:r>
    </w:p>
    <w:p>
      <w:r>
        <w:rPr>
          <w:rFonts w:ascii="Arial" w:hAnsi="Arial"/>
          <w:b w:val="0"/>
          <w:sz w:val="24"/>
        </w:rPr>
        <w:t>B) Infarto septal</w:t>
      </w:r>
    </w:p>
    <w:p>
      <w:r>
        <w:rPr>
          <w:rFonts w:ascii="Arial" w:hAnsi="Arial"/>
          <w:b w:val="0"/>
          <w:sz w:val="24"/>
        </w:rPr>
        <w:t>C) Infarto de ventrículo derecho</w:t>
      </w:r>
    </w:p>
    <w:p>
      <w:r>
        <w:rPr>
          <w:rFonts w:ascii="Arial" w:hAnsi="Arial"/>
          <w:b w:val="0"/>
          <w:sz w:val="24"/>
        </w:rPr>
        <w:t>D) Infarto posterior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IAM inferior + elevación ST en V3R-V4R = infarto de VD (arteria coronaria derecha proximal). No usar nitratos ni diuréticos (precipitan hipotensión).</w:t>
      </w:r>
    </w:p>
    <w:p>
      <w:r>
        <w:rPr>
          <w:rFonts w:ascii="Arial" w:hAnsi="Arial"/>
          <w:b/>
          <w:sz w:val="24"/>
        </w:rPr>
        <w:t>Sesgo que activa: Cierre prematuro — no revisar derivaciones derechas y clasificar solo como inferior.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IAMCEST 2 horas de evolución, centro sin cardiología intervencionista, traslado 120 min. ¿Manejo?</w:t>
      </w:r>
    </w:p>
    <w:p>
      <w:r>
        <w:rPr>
          <w:rFonts w:ascii="Arial" w:hAnsi="Arial"/>
          <w:b w:val="0"/>
          <w:sz w:val="24"/>
        </w:rPr>
        <w:t>A) Esperar traslado para ICP primaria</w:t>
      </w:r>
    </w:p>
    <w:p>
      <w:r>
        <w:rPr>
          <w:rFonts w:ascii="Arial" w:hAnsi="Arial"/>
          <w:b w:val="0"/>
          <w:sz w:val="24"/>
        </w:rPr>
        <w:t>B) Fibrinólisis inmediata</w:t>
      </w:r>
    </w:p>
    <w:p>
      <w:r>
        <w:rPr>
          <w:rFonts w:ascii="Arial" w:hAnsi="Arial"/>
          <w:b w:val="0"/>
          <w:sz w:val="24"/>
        </w:rPr>
        <w:t>C) Solo manejo médico con AAS</w:t>
      </w:r>
    </w:p>
    <w:p>
      <w:r>
        <w:rPr>
          <w:rFonts w:ascii="Arial" w:hAnsi="Arial"/>
          <w:b w:val="0"/>
          <w:sz w:val="24"/>
        </w:rPr>
        <w:t>D) Angiografía electiva al día siguiente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Si ICP primaria no disponible en plazos (&lt;120 min total), fibrinólisis en primeras 12 horas. Tenecteplasa según peso. Luego remitir a centro con ICP.</w:t>
      </w:r>
    </w:p>
    <w:p>
      <w:r>
        <w:rPr>
          <w:rFonts w:ascii="Arial" w:hAnsi="Arial"/>
          <w:b/>
          <w:sz w:val="24"/>
        </w:rPr>
        <w:t>Sesgo que activa: Disponibilidad — preferir ICP por ser "mejor" sin considerar tiempo de traslado.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post-IAMCEST, FEVI 35%, insuficiencia cardiaca. ¿Farmaco que reduce mortalidad a largo plazo?</w:t>
      </w:r>
    </w:p>
    <w:p>
      <w:r>
        <w:rPr>
          <w:rFonts w:ascii="Arial" w:hAnsi="Arial"/>
          <w:b w:val="0"/>
          <w:sz w:val="24"/>
        </w:rPr>
        <w:t>A) Nitroglicerina de mantenimiento</w:t>
      </w:r>
    </w:p>
    <w:p>
      <w:r>
        <w:rPr>
          <w:rFonts w:ascii="Arial" w:hAnsi="Arial"/>
          <w:b w:val="0"/>
          <w:sz w:val="24"/>
        </w:rPr>
        <w:t>B) Atorvastatina 80 mg</w:t>
      </w:r>
    </w:p>
    <w:p>
      <w:r>
        <w:rPr>
          <w:rFonts w:ascii="Arial" w:hAnsi="Arial"/>
          <w:b w:val="0"/>
          <w:sz w:val="24"/>
        </w:rPr>
        <w:t>C) Diltiazem</w:t>
      </w:r>
    </w:p>
    <w:p>
      <w:r>
        <w:rPr>
          <w:rFonts w:ascii="Arial" w:hAnsi="Arial"/>
          <w:b w:val="0"/>
          <w:sz w:val="24"/>
        </w:rPr>
        <w:t>D) Digoxina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Atorvastatina 80 mg intensiva reduce eventos CV. IECA/ARA-II + betabloqueador + espironolactona en FEVI &lt;40% e IC. Diltiazem contraindicado post-IAM con disfunción VI.</w:t>
      </w:r>
    </w:p>
    <w:p>
      <w:r>
        <w:rPr>
          <w:rFonts w:ascii="Arial" w:hAnsi="Arial"/>
          <w:b/>
          <w:sz w:val="24"/>
        </w:rPr>
        <w:t>Sesgo que activa: Sobreconfianza — elegir antianginoso (diltiazem) en lugar de tratamiento de prevención secundaria.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Mujer de 68 años, dolor epigástrico, náuseas, fatiga, sin dolor torácico típico. ECG: ondas Q patológicas en V5-V6. ¿Presentación?</w:t>
      </w:r>
    </w:p>
    <w:p>
      <w:r>
        <w:rPr>
          <w:rFonts w:ascii="Arial" w:hAnsi="Arial"/>
          <w:b w:val="0"/>
          <w:sz w:val="24"/>
        </w:rPr>
        <w:t>A) IAMCEST típico</w:t>
      </w:r>
    </w:p>
    <w:p>
      <w:r>
        <w:rPr>
          <w:rFonts w:ascii="Arial" w:hAnsi="Arial"/>
          <w:b w:val="0"/>
          <w:sz w:val="24"/>
        </w:rPr>
        <w:t>B) IAMCEST atípico</w:t>
      </w:r>
    </w:p>
    <w:p>
      <w:r>
        <w:rPr>
          <w:rFonts w:ascii="Arial" w:hAnsi="Arial"/>
          <w:b w:val="0"/>
          <w:sz w:val="24"/>
        </w:rPr>
        <w:t>C) Angina estable</w:t>
      </w:r>
    </w:p>
    <w:p>
      <w:r>
        <w:rPr>
          <w:rFonts w:ascii="Arial" w:hAnsi="Arial"/>
          <w:b w:val="0"/>
          <w:sz w:val="24"/>
        </w:rPr>
        <w:t>D) Síndrome de Dressler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Hasta 30% de IAM presentan síntomas atípicos, más frecuentes en mujeres y ancianos: dolor epigástrico, fatiga, disnea, náuseas. Ondas Q indician IAM evolucionado.</w:t>
      </w:r>
    </w:p>
    <w:p>
      <w:r>
        <w:rPr>
          <w:rFonts w:ascii="Arial" w:hAnsi="Arial"/>
          <w:b/>
          <w:sz w:val="24"/>
        </w:rPr>
        <w:t>Sesgo que activa: Prevalencia base — asumir que IAM siempre tiene dolor torácico típico y descartar mujeres/ancianos.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IAMCEST, ECG con BRIHH nuevo. ¿Criterio diagnóstico compatible con IAMCEST en BRIHH?</w:t>
      </w:r>
    </w:p>
    <w:p>
      <w:r>
        <w:rPr>
          <w:rFonts w:ascii="Arial" w:hAnsi="Arial"/>
          <w:b w:val="0"/>
          <w:sz w:val="24"/>
        </w:rPr>
        <w:t>A) Criterios de Wellens</w:t>
      </w:r>
    </w:p>
    <w:p>
      <w:r>
        <w:rPr>
          <w:rFonts w:ascii="Arial" w:hAnsi="Arial"/>
          <w:b w:val="0"/>
          <w:sz w:val="24"/>
        </w:rPr>
        <w:t>B) Criterios de Sgarbossa</w:t>
      </w:r>
    </w:p>
    <w:p>
      <w:r>
        <w:rPr>
          <w:rFonts w:ascii="Arial" w:hAnsi="Arial"/>
          <w:b w:val="0"/>
          <w:sz w:val="24"/>
        </w:rPr>
        <w:t>C) Criterios de Duke</w:t>
      </w:r>
    </w:p>
    <w:p>
      <w:r>
        <w:rPr>
          <w:rFonts w:ascii="Arial" w:hAnsi="Arial"/>
          <w:b w:val="0"/>
          <w:sz w:val="24"/>
        </w:rPr>
        <w:t>D) Criterios de Brugada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BRIHH nuevo con dolor precordial puede equivaler a IAMCEST. Criterios de Sgarbossa: ST concordante ≥1 mm (5 puntos), ST discordante ≥5 mm (2 puntos), desnivel negativo ST ≥1 mm en V1-V3 (3 puntos). ≥3 puntos = especificidad 90%.</w:t>
      </w:r>
    </w:p>
    <w:p>
      <w:r>
        <w:rPr>
          <w:rFonts w:ascii="Arial" w:hAnsi="Arial"/>
          <w:b/>
          <w:sz w:val="24"/>
        </w:rPr>
        <w:t>Sesgo que activa: Cierre prematuro — atribuir alteraciones del ECG solo al BRIHH sin buscar isquemia.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Paciente post-IAMCEST anteroseptal, día 5, soplo holosistólico apical, edema agudo pulmonar. ¿Complicación?</w:t>
      </w:r>
    </w:p>
    <w:p>
      <w:r>
        <w:rPr>
          <w:rFonts w:ascii="Arial" w:hAnsi="Arial"/>
          <w:b w:val="0"/>
          <w:sz w:val="24"/>
        </w:rPr>
        <w:t>A) Rotura de pared libre del VI</w:t>
      </w:r>
    </w:p>
    <w:p>
      <w:r>
        <w:rPr>
          <w:rFonts w:ascii="Arial" w:hAnsi="Arial"/>
          <w:b w:val="0"/>
          <w:sz w:val="24"/>
        </w:rPr>
        <w:t>B) Rotura de músculo papilar</w:t>
      </w:r>
    </w:p>
    <w:p>
      <w:r>
        <w:rPr>
          <w:rFonts w:ascii="Arial" w:hAnsi="Arial"/>
          <w:b w:val="0"/>
          <w:sz w:val="24"/>
        </w:rPr>
        <w:t>C) Rotura del tabique interventricular</w:t>
      </w:r>
    </w:p>
    <w:p>
      <w:r>
        <w:rPr>
          <w:rFonts w:ascii="Arial" w:hAnsi="Arial"/>
          <w:b w:val="0"/>
          <w:sz w:val="24"/>
        </w:rPr>
        <w:t>D) Pericarditis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Soplo holosistólico apical + edema agudo pulmonar = insuficiencia mitral aguda por rotura/disfunción de músculo papilar (incidencia 0.1-0.9%). Tabique: soplo en ápex, no tan agudo pulmonar.</w:t>
      </w:r>
    </w:p>
    <w:p>
      <w:r>
        <w:rPr>
          <w:rFonts w:ascii="Arial" w:hAnsi="Arial"/>
          <w:b/>
          <w:sz w:val="24"/>
        </w:rPr>
        <w:t>Sesgo que activa: Disponibilidad — pensar en tabique interventricular por ser complicación mecánica famosa sin auscultar localización del soplo.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IAMCEST, oximetría SatO2 96% en aire ambiente. ¿Indicación de oxígeno suplementario?</w:t>
      </w:r>
    </w:p>
    <w:p>
      <w:r>
        <w:rPr>
          <w:rFonts w:ascii="Arial" w:hAnsi="Arial"/>
          <w:b w:val="0"/>
          <w:sz w:val="24"/>
        </w:rPr>
        <w:t>A) Oxígeno 2 L/min por vía nasal en todos</w:t>
      </w:r>
    </w:p>
    <w:p>
      <w:r>
        <w:rPr>
          <w:rFonts w:ascii="Arial" w:hAnsi="Arial"/>
          <w:b w:val="0"/>
          <w:sz w:val="24"/>
        </w:rPr>
        <w:t>B) Oxígeno 4 L/min por mascarilla</w:t>
      </w:r>
    </w:p>
    <w:p>
      <w:r>
        <w:rPr>
          <w:rFonts w:ascii="Arial" w:hAnsi="Arial"/>
          <w:b w:val="0"/>
          <w:sz w:val="24"/>
        </w:rPr>
        <w:t>C) No administrar oxígeno</w:t>
      </w:r>
    </w:p>
    <w:p>
      <w:r>
        <w:rPr>
          <w:rFonts w:ascii="Arial" w:hAnsi="Arial"/>
          <w:b w:val="0"/>
          <w:sz w:val="24"/>
        </w:rPr>
        <w:t>D) Oxígeno de alta concentración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Oxígeno solo si SatO2 &lt;90% o PaO2 &lt;60 mmHg. Sin hipoxemia, oxígeno puede aumentar daño miocárdico y tamaño de infarto.</w:t>
      </w:r>
    </w:p>
    <w:p>
      <w:r>
        <w:rPr>
          <w:rFonts w:ascii="Arial" w:hAnsi="Arial"/>
          <w:b/>
          <w:sz w:val="24"/>
        </w:rPr>
        <w:t>Sesgo que activa: Anclaje — "oxígeno para todo paciente cardíaco" sin verificar saturación.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IAMCEST inferior, trombolizado con tenecteplasa. A las 60 min, ST sigue elevado &gt;50% en III y aVF. ¿Manejo?</w:t>
      </w:r>
    </w:p>
    <w:p>
      <w:r>
        <w:rPr>
          <w:rFonts w:ascii="Arial" w:hAnsi="Arial"/>
          <w:b w:val="0"/>
          <w:sz w:val="24"/>
        </w:rPr>
        <w:t>A) Segunda dosis de tenecteplasa</w:t>
      </w:r>
    </w:p>
    <w:p>
      <w:r>
        <w:rPr>
          <w:rFonts w:ascii="Arial" w:hAnsi="Arial"/>
          <w:b w:val="0"/>
          <w:sz w:val="24"/>
        </w:rPr>
        <w:t>B) ICP de rescate urgente</w:t>
      </w:r>
    </w:p>
    <w:p>
      <w:r>
        <w:rPr>
          <w:rFonts w:ascii="Arial" w:hAnsi="Arial"/>
          <w:b w:val="0"/>
          <w:sz w:val="24"/>
        </w:rPr>
        <w:t>C) Observación 24 horas</w:t>
      </w:r>
    </w:p>
    <w:p>
      <w:r>
        <w:rPr>
          <w:rFonts w:ascii="Arial" w:hAnsi="Arial"/>
          <w:b w:val="0"/>
          <w:sz w:val="24"/>
        </w:rPr>
        <w:t>D) Cambiar a reteplasa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Fracaso de fibrinólisis: resolución ST &lt;50% a 60-90 min. Indicación de ICP de rescate inmediata. No repetir fibrinolítico.</w:t>
      </w:r>
    </w:p>
    <w:p>
      <w:r>
        <w:rPr>
          <w:rFonts w:ascii="Arial" w:hAnsi="Arial"/>
          <w:b/>
          <w:sz w:val="24"/>
        </w:rPr>
        <w:t>Sesgo que activa: Cierre prematuro — observar en lugar de actuar ante fracaso de reperfusión.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post-IAMCEST, peso 75 kg, edad 52 años, clase Killip I, FC 110. ¿Puntaje TIMI?</w:t>
      </w:r>
    </w:p>
    <w:p>
      <w:r>
        <w:rPr>
          <w:rFonts w:ascii="Arial" w:hAnsi="Arial"/>
          <w:b w:val="0"/>
          <w:sz w:val="24"/>
        </w:rPr>
        <w:t>A) 1 punto</w:t>
      </w:r>
    </w:p>
    <w:p>
      <w:r>
        <w:rPr>
          <w:rFonts w:ascii="Arial" w:hAnsi="Arial"/>
          <w:b w:val="0"/>
          <w:sz w:val="24"/>
        </w:rPr>
        <w:t>B) 2 puntos</w:t>
      </w:r>
    </w:p>
    <w:p>
      <w:r>
        <w:rPr>
          <w:rFonts w:ascii="Arial" w:hAnsi="Arial"/>
          <w:b w:val="0"/>
          <w:sz w:val="24"/>
        </w:rPr>
        <w:t>C) 3 puntos</w:t>
      </w:r>
    </w:p>
    <w:p>
      <w:r>
        <w:rPr>
          <w:rFonts w:ascii="Arial" w:hAnsi="Arial"/>
          <w:b w:val="0"/>
          <w:sz w:val="24"/>
        </w:rPr>
        <w:t>D) 4 puntos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TIMI: FC &gt;100 = 2 puntos; peso &lt;67 kg = 0; edad 52 = 0; HTA/DM = 1 punto; Killip I = 0. Total = 3 puntos (mortalidad 30 días 4.4%).</w:t>
      </w:r>
    </w:p>
    <w:p>
      <w:r>
        <w:rPr>
          <w:rFonts w:ascii="Arial" w:hAnsi="Arial"/>
          <w:b/>
          <w:sz w:val="24"/>
        </w:rPr>
        <w:t>Sesgo que activa: Sobreconfianza — calcular mal puntaje por no revisar tabla completa.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