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Examen 7 - Mixto (20%, 2/10)</w:t>
      </w:r>
    </w:p>
    <w:p>
      <w:r>
        <w:t>ENARM Master · ID v4xqgJmov99uhPSH9 · Transcripción: pregunta, respuesta correcta y porqué (sin bibliografía).</w:t>
      </w:r>
    </w:p>
    <w:p>
      <w:pPr>
        <w:pStyle w:val="Heading3"/>
      </w:pPr>
      <w:r>
        <w:t>1. ¿Cuál es el grosor endometrial que se considera sospechoso para el diagnóstico de hiperplasia endometrial o cáncer endometrial en pacientes con síndrome de ovario poliquístico?</w:t>
      </w:r>
    </w:p>
    <w:p>
      <w:r>
        <w:rPr>
          <w:b/>
        </w:rPr>
        <w:t xml:space="preserve">Respuesta correcta: </w:t>
      </w:r>
      <w:r>
        <w:t>&gt;7 mm</w:t>
      </w:r>
    </w:p>
    <w:p>
      <w:r>
        <w:rPr>
          <w:b/>
        </w:rPr>
        <w:t xml:space="preserve">Porqué: </w:t>
      </w:r>
      <w:r>
        <w:t>La incidencia de hiperplasia endometrial en SOP e infertilidad anovulatoria en pacientes de 21-41 años es 36%, correlacionándose con la exposición prolongada a estrógenos durante un intervalo inter-menstrual, mayor de 3 meses (amenorrea), siendo útil medir el grosor endometrial por ultrasonido endovaginal, considerándose sospechoso un espesor mayor de 7 milímetros (GPC SOP).</w:t>
      </w:r>
    </w:p>
    <w:p>
      <w:pPr>
        <w:pStyle w:val="Heading2"/>
      </w:pPr>
      <w:r>
        <w:t>Caso</w:t>
      </w:r>
    </w:p>
    <w:p>
      <w:r>
        <w:t>A full-term newborn is brought to a rural clinic within the first few days of life due to visible jaundice, which the caregiver notes has been progressively more noticeable since the previous day. The baby is alert, feeding moderately well, and does not show signs of lethargy or poor perfusion. On physical examination, jaundice is evident not only on the face but also extending to the trunk and possibly the lower extremities. However, the clinic is in a resource-limited setting and lacks equipment to measure bilirubin levels, either transcutaneously or in serum. Additionally, there is no acces</w:t>
      </w:r>
    </w:p>
    <w:p>
      <w:pPr>
        <w:pStyle w:val="Heading3"/>
      </w:pPr>
      <w:r>
        <w:t>2. What is the recommended action?</w:t>
      </w:r>
    </w:p>
    <w:p>
      <w:r>
        <w:rPr>
          <w:b/>
        </w:rPr>
        <w:t xml:space="preserve">Respuesta correcta: </w:t>
      </w:r>
      <w:r>
        <w:t>Refer to second or third level</w:t>
      </w:r>
    </w:p>
    <w:p>
      <w:r>
        <w:rPr>
          <w:b/>
        </w:rPr>
        <w:t xml:space="preserve">Porqué: </w:t>
      </w:r>
      <w:r>
        <w:t>La GPC indica claramente que si en el primer nivel de atención no se cuenta con los recursos para medir bilirrubina sérica o administrar fototerapia, el recién nacido debe referirse de inmediato a un segundo o tercer nivel. No se recomienda observar ni iniciar medidas empíricas como exposición solar.</w:t>
      </w:r>
    </w:p>
    <w:p>
      <w:pPr>
        <w:pStyle w:val="Heading3"/>
      </w:pPr>
      <w:r>
        <w:t>3. What method is NOT recommended for predicting severe jaundice?</w:t>
      </w:r>
    </w:p>
    <w:p>
      <w:r>
        <w:rPr>
          <w:b/>
        </w:rPr>
        <w:t xml:space="preserve">Respuesta correcta: </w:t>
      </w:r>
      <w:r>
        <w:t>Cord bilirubin</w:t>
      </w:r>
    </w:p>
    <w:p>
      <w:r>
        <w:rPr>
          <w:b/>
        </w:rPr>
        <w:t xml:space="preserve">Porqué: </w:t>
      </w:r>
      <w:r>
        <w:t>La bilirrubina medida en sangre del cordón umbilical no debe utilizarse como predictor de hiperbilirrubinemia severa, ya que no es confiable y puede conducir a decisiones clínicas inapropiadas. La GPC lo especifica al referirse a métodos diagnósticos de baja utilidad.</w:t>
      </w:r>
    </w:p>
    <w:p>
      <w:pPr>
        <w:pStyle w:val="Heading3"/>
      </w:pPr>
      <w:r>
        <w:t>4. In what situation should discharge be postponed?</w:t>
      </w:r>
    </w:p>
    <w:p>
      <w:r>
        <w:rPr>
          <w:b/>
        </w:rPr>
        <w:t xml:space="preserve">Respuesta correcta: </w:t>
      </w:r>
      <w:r>
        <w:t>If parents are not trained to monitor</w:t>
      </w:r>
    </w:p>
    <w:p>
      <w:r>
        <w:rPr>
          <w:b/>
        </w:rPr>
        <w:t xml:space="preserve">Porqué: </w:t>
      </w:r>
      <w:r>
        <w:t>La guía menciona que si los cuidadores no están capacitados para identificar signos de alarma, o no tienen seguimiento garantizado, debe diferirse el alta hospitalaria, ya que existe un mayor riesgo de daño neurológico por hiperbilirrubinemia no detectada a tiempo.</w:t>
      </w:r>
    </w:p>
    <w:p>
      <w:pPr>
        <w:pStyle w:val="Heading2"/>
      </w:pPr>
      <w:r>
        <w:t>Caso</w:t>
      </w:r>
    </w:p>
    <w:p>
      <w:r>
        <w:t>Llega al servicio de urgencias paciente femenina de 58 años de edad con antecedente de obesidad y diabetes mellitus Tipo 2 insulinodependiente que refiere iniciar su padecimiento hace mas de 72 horas presentando nausea, vomito, fiebre mayor de 39° y dolor en cuadrante superior derecho; a la exploración física se percibe signo de Murphy positivo, resistencia muscular en cuadrante superior derecho y masa palpable en cuadrante superior derecho; ante la sospecha clínica se realiza un ultrasonido abdominal que reporta: engrosamiento de pared vesicular, sombra acústica, imagen de doble riel, litiasi</w:t>
      </w:r>
    </w:p>
    <w:p>
      <w:pPr>
        <w:pStyle w:val="Heading3"/>
      </w:pPr>
      <w:r>
        <w:t>5. En base a lo presentado. ¿Cuál es el diagnóstico más probable?</w:t>
      </w:r>
    </w:p>
    <w:p>
      <w:r>
        <w:rPr>
          <w:b/>
        </w:rPr>
        <w:t xml:space="preserve">Respuesta correcta: </w:t>
      </w:r>
      <w:r>
        <w:t>Colecistitis por colelitiasis</w:t>
      </w:r>
    </w:p>
    <w:p>
      <w:r>
        <w:rPr>
          <w:b/>
        </w:rPr>
        <w:t xml:space="preserve">Porqué: </w:t>
      </w:r>
      <w:r>
        <w:t>La colelitiasis es la presencia de litos en la vesicula biliar, se presenta con mas frecuencia en mujeres mayores de 40 años, sus principals factores de riesgo es en pacientes que presentan obesidad, embarazo, enfermedades de ileon, hepaticas y metabólicas, las manifestaciones clinicas son: signo de Murphy positivo, masa en cuadrante superior derecho, dolor en cuadrante superior derecho, Resistencia muscular en cuadrante superior derecho, nausea, vomito.</w:t>
      </w:r>
    </w:p>
    <w:p>
      <w:pPr>
        <w:pStyle w:val="Heading3"/>
      </w:pPr>
      <w:r>
        <w:t>6. De acuerdo a la clasificación de gravedad para colecistitis y colelitiasis en que grado se encuentra la paciente:</w:t>
      </w:r>
    </w:p>
    <w:p>
      <w:r>
        <w:rPr>
          <w:b/>
        </w:rPr>
        <w:t xml:space="preserve">Respuesta correcta: </w:t>
      </w:r>
      <w:r>
        <w:t>Grado 2</w:t>
      </w:r>
    </w:p>
    <w:p>
      <w:r>
        <w:rPr>
          <w:b/>
        </w:rPr>
        <w:t xml:space="preserve">Porqué: </w:t>
      </w:r>
      <w:r>
        <w:t>GRADO 1: LEVE- Colecistitis aguda en un paciente saludable sin disfunción orgánica, solo cambios inflamatorios leves en la vesícula biliar, la colecistectomía se puede hace en forma segura con bajo riesgo operatorio. GRADO 2: MODERADO- Colecistitis aguda acompañada cualquiera de las siguientes condiciones: • Conteo de leucocitos elevado (&gt; 18,000 mm3). • Masa palpable en cuadrante superior derecho de abdomen. • Duración del cuadro clínico &gt; 72 h. • Marcada inflamación local (peritonitis biliar, absceso perivesicular, absceso hepático, colecistitis gangrenada, colecistitis enfisematosa GRADO 3: GRAVE- Colecistitis aguda acompañada por disfunción de cualquiera de los siguientes órganos/sistemas: • Disfunción cardiovascular (hipotensión que requiere tratamiento con dopamina &gt; 5 ug/kg/min. o cualquier dosis de dobutamina). • Disfunción neurológica (disminución del nivel de conciencia). • Disfunción respiratoria (PaO2/FiO2 promedio &lt;300). • Disfunción renal (oliguria, creatinina &gt;2.0 mg/dl). • Disfunción hepática (TP-INR &gt;1.5) • Disfunción hematológica (plaquetas &lt;100 000/mm3).</w:t>
      </w:r>
    </w:p>
    <w:p>
      <w:pPr>
        <w:pStyle w:val="Heading2"/>
      </w:pPr>
      <w:r>
        <w:t>Caso</w:t>
      </w:r>
    </w:p>
    <w:p>
      <w:r>
        <w:t>Hombre de 78 años acude a consulta por presentar pérdida auditiva de la audición en los últimos seis meses. Refiere que al inicio le costaba comprender lo que decían cuando varias personas hablaban, pero en el último mes no puede entablar una conversación porque no entiende las palabras. Niega antecedentes heredofamiliares de importancia, actualmente su medicación toma telmisartán con hidroclorotiazida y rosuvastatina por diagnóstico de hipertensión y dislipidemia. A la otoscopia, la membrana timpánica se observa íntegra, sin retracción ni perforación, y el conducto auditivo sin líquido, erite</w:t>
      </w:r>
    </w:p>
    <w:p>
      <w:pPr>
        <w:pStyle w:val="Heading3"/>
      </w:pPr>
      <w:r>
        <w:t>7. De acuerdo con la audiometría realizada ¿Cómo clasificarías esta hipoacusia?</w:t>
      </w:r>
    </w:p>
    <w:p>
      <w:r>
        <w:rPr>
          <w:b/>
        </w:rPr>
        <w:t xml:space="preserve">Respuesta correcta: </w:t>
      </w:r>
      <w:r>
        <w:t>Hipoacusia moderada</w:t>
      </w:r>
    </w:p>
    <w:p>
      <w:r>
        <w:rPr>
          <w:b/>
        </w:rPr>
        <w:t xml:space="preserve">Porqué: </w:t>
      </w:r>
      <w:r>
        <w:t>La hipoacusia se puede clasificar de acuerdo con el nivel de pérdida auditiva la cual se mide por decibeles durante la audiometría. 20–40 dB → Hipoacusia leve o superficial 41–60 dB → Hipoacusia moderada 61–80 dB → Hipoacusia severa 81–100 dB → Hipoacusia profunda &gt;100 dB → Anacusia</w:t>
      </w:r>
    </w:p>
    <w:p>
      <w:pPr>
        <w:pStyle w:val="Heading3"/>
      </w:pPr>
      <w:r>
        <w:t>8. ¿Cuál es el umbral audiométrico para la indicación de auxiliar auditivo?</w:t>
      </w:r>
    </w:p>
    <w:p>
      <w:r>
        <w:rPr>
          <w:b/>
        </w:rPr>
        <w:t xml:space="preserve">Respuesta correcta: </w:t>
      </w:r>
      <w:r>
        <w:t>40 dB</w:t>
      </w:r>
    </w:p>
    <w:p>
      <w:r>
        <w:rPr>
          <w:b/>
        </w:rPr>
        <w:t xml:space="preserve">Porqué: </w:t>
      </w:r>
      <w:r>
        <w:t>Al paciente con déficit auditivo se deberá referir al siguiente nivel de atención para realizar una audiometría, ya que el umbral audiométrico para indicar el auxiliar auditivo es de 40 dB.</w:t>
      </w:r>
    </w:p>
    <w:p>
      <w:pPr>
        <w:pStyle w:val="Heading3"/>
      </w:pPr>
      <w:r>
        <w:t>9. ¿Qué porcentaje de pacientes con déficit auditivo tienen impactación por cerumen?</w:t>
      </w:r>
    </w:p>
    <w:p>
      <w:r>
        <w:rPr>
          <w:b/>
        </w:rPr>
        <w:t xml:space="preserve">Respuesta correcta: </w:t>
      </w:r>
      <w:r>
        <w:t>30%</w:t>
      </w:r>
    </w:p>
    <w:p>
      <w:r>
        <w:rPr>
          <w:b/>
        </w:rPr>
        <w:t xml:space="preserve">Porqué: </w:t>
      </w:r>
      <w:r>
        <w:t>En los adultos mayores con déficit auditivo, de manera inicial se debe evaluar la existencia de impactación por cerumen, ya que se presenta en el 30% de los casos.</w:t>
      </w:r>
    </w:p>
    <w:p>
      <w:pPr>
        <w:pStyle w:val="Heading2"/>
      </w:pPr>
      <w:r>
        <w:t>Caso</w:t>
      </w:r>
    </w:p>
    <w:p>
      <w:r>
        <w:t>Paciente femenina de 25 años de edad, con antecedente de Diabetes mellitus tipo 2 en tratamiento con metformina 500 mg, 1 tableta cada 12 horas. Acude a consulta por presentar desde hace 10 días, cuadro de tos con flema, acompañado de escurrimiento nasal transparente y astenia, menciona únicamente haber tomado paracetamol de 650 gr en una ocasión sin ceder los síntomas, a la auscultación pulmonar se perciben sibilancias. TA: 125/80, FC: 118 lpm, FR: 20 rpm, SatO2: 99% Peso: 109 kg</w:t>
      </w:r>
    </w:p>
    <w:p>
      <w:pPr>
        <w:pStyle w:val="Heading3"/>
      </w:pPr>
      <w:r>
        <w:t>10. De acuerdo al caso presentado anteriormente y al orden de frecuencia. ¿Cuál sería su diagnóstico más probable?</w:t>
      </w:r>
    </w:p>
    <w:p>
      <w:r>
        <w:rPr>
          <w:b/>
        </w:rPr>
        <w:t xml:space="preserve">Respuesta correcta: </w:t>
      </w:r>
      <w:r>
        <w:t>Bronquitis Aguda</w:t>
      </w:r>
    </w:p>
    <w:p>
      <w:r>
        <w:rPr>
          <w:b/>
        </w:rPr>
        <w:t xml:space="preserve">Porqué: </w:t>
      </w:r>
      <w:r>
        <w:t>El cuadro clínico de la bronquitis aguda se considera por un compromiso moderado de las vías aéreas superiores, con presencia de tos aguda que se define como tos que persiste &lt;3 semanas o incluso pudiéndose prolongar más de 3 semanas, productiva en 50% de los pacientes, escaso o nulo compromiso del estado general, en algunos casos pueden auscultarse sibilancias y roncus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ENARM Master — registro personal de estudio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erpoDoc">
    <w:name w:val="CuerpoDoc"/>
    <w:basedOn w:val="Normal"/>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