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ENARM — Datos de respuesta exacta</w:t>
      </w:r>
    </w:p>
    <w:p>
      <w:pPr>
        <w:jc w:val="center"/>
      </w:pPr>
      <w:r>
        <w:t>Preguntas recabadas cuya respuesta es un dato que debe memorizarse sin confusión: cifras, dosis, edades, agentes, fármacos, clasificaciones, criterios y eponimios.</w:t>
      </w:r>
    </w:p>
    <w:p>
      <w:pPr>
        <w:jc w:val="center"/>
      </w:pPr>
      <w:r>
        <w:rPr>
          <w:i/>
          <w:sz w:val="20"/>
        </w:rPr>
        <w:t>72 datos de memorización · organizados por materia · fuente: banco de preguntas recabadas (529) + exámenes Master (330)</w:t>
      </w:r>
    </w:p>
    <w:p>
      <w:pPr>
        <w:pStyle w:val="Heading1"/>
      </w:pPr>
      <w:r>
        <w:t>Contenido por materia</w:t>
      </w:r>
    </w:p>
    <w:p>
      <w:pPr>
        <w:pStyle w:val="ListNumber"/>
      </w:pPr>
      <w:r>
        <w:t>Pediatría: 19 datos</w:t>
      </w:r>
    </w:p>
    <w:p>
      <w:pPr>
        <w:pStyle w:val="ListNumber"/>
      </w:pPr>
      <w:r>
        <w:t>Medicina Interna: 18 datos</w:t>
      </w:r>
    </w:p>
    <w:p>
      <w:pPr>
        <w:pStyle w:val="ListNumber"/>
      </w:pPr>
      <w:r>
        <w:t>Cardiología: 6 datos</w:t>
      </w:r>
    </w:p>
    <w:p>
      <w:pPr>
        <w:pStyle w:val="ListNumber"/>
      </w:pPr>
      <w:r>
        <w:t>Salud Pública y Epidemiología: 5 datos</w:t>
      </w:r>
    </w:p>
    <w:p>
      <w:pPr>
        <w:pStyle w:val="ListNumber"/>
      </w:pPr>
      <w:r>
        <w:t>Gastroenterología: 4 datos</w:t>
      </w:r>
    </w:p>
    <w:p>
      <w:pPr>
        <w:pStyle w:val="ListNumber"/>
      </w:pPr>
      <w:r>
        <w:t>Ginecología y Obstetricia: 4 datos</w:t>
      </w:r>
    </w:p>
    <w:p>
      <w:pPr>
        <w:pStyle w:val="ListNumber"/>
      </w:pPr>
      <w:r>
        <w:t>Infectología: 3 datos</w:t>
      </w:r>
    </w:p>
    <w:p>
      <w:pPr>
        <w:pStyle w:val="ListNumber"/>
      </w:pPr>
      <w:r>
        <w:t>Cirugía: 2 datos</w:t>
      </w:r>
    </w:p>
    <w:p>
      <w:pPr>
        <w:pStyle w:val="ListNumber"/>
      </w:pPr>
      <w:r>
        <w:t>Oftalmología: 2 datos</w:t>
      </w:r>
    </w:p>
    <w:p>
      <w:pPr>
        <w:pStyle w:val="ListNumber"/>
      </w:pPr>
      <w:r>
        <w:t>Nefrología: 2 datos</w:t>
      </w:r>
    </w:p>
    <w:p>
      <w:pPr>
        <w:pStyle w:val="ListNumber"/>
      </w:pPr>
      <w:r>
        <w:t>Endocrinología: 2 datos</w:t>
      </w:r>
    </w:p>
    <w:p>
      <w:pPr>
        <w:pStyle w:val="ListNumber"/>
      </w:pPr>
      <w:r>
        <w:t>Psiquiatría: 1 datos</w:t>
      </w:r>
    </w:p>
    <w:p>
      <w:pPr>
        <w:pStyle w:val="ListNumber"/>
      </w:pPr>
      <w:r>
        <w:t>Inmunología: 1 datos</w:t>
      </w:r>
    </w:p>
    <w:p>
      <w:pPr>
        <w:pStyle w:val="ListNumber"/>
      </w:pPr>
      <w:r>
        <w:t>Hematología: 1 datos</w:t>
      </w:r>
    </w:p>
    <w:p>
      <w:pPr>
        <w:pStyle w:val="ListNumber"/>
      </w:pPr>
      <w:r>
        <w:t>Oncología: 1 datos</w:t>
      </w:r>
    </w:p>
    <w:p>
      <w:pPr>
        <w:pStyle w:val="ListNumber"/>
      </w:pPr>
      <w:r>
        <w:t>Farmacología: 1 datos</w:t>
      </w:r>
    </w:p>
    <w:p>
      <w:r>
        <w:br w:type="page"/>
      </w:r>
    </w:p>
    <w:p>
      <w:pPr>
        <w:pStyle w:val="Heading1"/>
      </w:pPr>
      <w:r>
        <w:t>Pediatría</w:t>
      </w:r>
    </w:p>
    <w:p>
      <w:pPr>
        <w:pStyle w:val="ListNumber"/>
      </w:pPr>
      <w:r>
        <w:rPr>
          <w:sz w:val="21"/>
        </w:rPr>
        <w:t>El estudio analítico y serológico de un enfermo con astenia e ictericia aporta los siguientes datos: GOT &gt;30 veces el límite de lo normal, GPT &gt;40 veces el límite de lo normal, bilirrubina total 6.7 mg/dL, HBsAg (+), HBeAg (+), anticuerpos IgM frente al core de virus positivos, anticuerpos anti virus delta (-) y anticuerpos antivírus C (-). ¿Cuál es, entre los siguientes, el diagnóstico más probable?</w:t>
      </w:r>
    </w:p>
    <w:p>
      <w:pPr>
        <w:ind w:left="454"/>
      </w:pPr>
      <w:r>
        <w:rPr>
          <w:b/>
          <w:color w:val="C00000"/>
          <w:sz w:val="21"/>
        </w:rPr>
        <w:t xml:space="preserve">RESPUESTA EXACTA: </w:t>
      </w:r>
      <w:r>
        <w:rPr>
          <w:b/>
          <w:sz w:val="21"/>
        </w:rPr>
        <w:t>Hepatitis aguda por virus B.</w:t>
      </w:r>
    </w:p>
    <w:p/>
    <w:p>
      <w:pPr>
        <w:pStyle w:val="ListNumber"/>
      </w:pPr>
      <w:r>
        <w:rPr>
          <w:sz w:val="21"/>
        </w:rPr>
        <w:t>palmas, de forma simétrica. Las lesiones son rojas claras. Está afebril, pero asténico, con dolor de garganta y cefalea leve. Tras realizarle, entre otras pruebas, RPR y FTA-ABS, ambas son positivas en suero, diagnosticándose de sífilis. ¿Cuál de las siguientes afirmaciones es correcta?</w:t>
      </w:r>
    </w:p>
    <w:p>
      <w:pPr>
        <w:ind w:left="454"/>
      </w:pPr>
      <w:r>
        <w:rPr>
          <w:b/>
          <w:color w:val="C00000"/>
          <w:sz w:val="21"/>
        </w:rPr>
        <w:t xml:space="preserve">RESPUESTA EXACTA: </w:t>
      </w:r>
      <w:r>
        <w:rPr>
          <w:b/>
          <w:sz w:val="21"/>
        </w:rPr>
        <w:t>El tratamiento de elección es penicilina G benzatínica.</w:t>
      </w:r>
    </w:p>
    <w:p/>
    <w:p>
      <w:pPr>
        <w:pStyle w:val="ListNumber"/>
      </w:pPr>
      <w:r>
        <w:rPr>
          <w:sz w:val="21"/>
        </w:rPr>
        <w:t>En un niño sano de 3 meses, el valor de la hemoglobina es:</w:t>
      </w:r>
    </w:p>
    <w:p>
      <w:pPr>
        <w:ind w:left="454"/>
      </w:pPr>
      <w:r>
        <w:rPr>
          <w:b/>
          <w:color w:val="C00000"/>
          <w:sz w:val="21"/>
        </w:rPr>
        <w:t xml:space="preserve">RESPUESTA EXACTA: </w:t>
      </w:r>
      <w:r>
        <w:rPr>
          <w:b/>
          <w:sz w:val="21"/>
        </w:rPr>
        <w:t>9,5-14 g/dL.</w:t>
      </w:r>
    </w:p>
    <w:p/>
    <w:p>
      <w:pPr>
        <w:pStyle w:val="ListNumber"/>
      </w:pPr>
      <w:r>
        <w:rPr>
          <w:sz w:val="21"/>
        </w:rPr>
        <w:t>Recién nacido de 36 semanas de edad gestacional, con 7 días de vida, que desde el tercero presenta una ictericia que ha ido en aumento. La madre es primigesta, tiene un grupo sanguíneo A (Rh negativo) y el niño es O (Rh positivo). El 7º día tiene una bilirrubina total de 12 mg/dL, a expensas de la fracción indirecta. El niño tiene buen estado general y los valores de hematocrito, hemoglobina y reticulocitos son…</w:t>
      </w:r>
    </w:p>
    <w:p>
      <w:pPr>
        <w:ind w:left="454"/>
      </w:pPr>
      <w:r>
        <w:rPr>
          <w:b/>
          <w:color w:val="C00000"/>
          <w:sz w:val="21"/>
        </w:rPr>
        <w:t xml:space="preserve">RESPUESTA EXACTA: </w:t>
      </w:r>
      <w:r>
        <w:rPr>
          <w:b/>
          <w:sz w:val="21"/>
        </w:rPr>
        <w:t>Ictericia fisiológica.</w:t>
      </w:r>
    </w:p>
    <w:p/>
    <w:p>
      <w:pPr>
        <w:pStyle w:val="ListNumber"/>
      </w:pPr>
      <w:r>
        <w:rPr>
          <w:sz w:val="21"/>
        </w:rPr>
        <w:t>En relación con los procesos que se mencionan, señale qué vacuna está contraindicada durante el embarazo:</w:t>
      </w:r>
    </w:p>
    <w:p>
      <w:pPr>
        <w:ind w:left="454"/>
      </w:pPr>
      <w:r>
        <w:rPr>
          <w:b/>
          <w:color w:val="C00000"/>
          <w:sz w:val="21"/>
        </w:rPr>
        <w:t xml:space="preserve">RESPUESTA EXACTA: </w:t>
      </w:r>
      <w:r>
        <w:rPr>
          <w:b/>
          <w:sz w:val="21"/>
        </w:rPr>
        <w:t>Rubeola.</w:t>
      </w:r>
    </w:p>
    <w:p/>
    <w:p>
      <w:pPr>
        <w:pStyle w:val="ListNumber"/>
      </w:pPr>
      <w:r>
        <w:rPr>
          <w:sz w:val="21"/>
        </w:rPr>
        <w:t>Una mujer de 20 años, embarazada de 28 semanas y que ha presentado hiperemesis gravídica, es traída al hospital porque desde hace una semana se han intensificado los vómitos, no tolera la ingesta oral de alimentos y presenta un cuadro progresivo de desorientación, apatía, somnolencia, alteraciones visuales y dificultad para la deambulación. En la exploración destaca deterioro del nivel de conciencia, oftalmooplejia,…</w:t>
      </w:r>
    </w:p>
    <w:p>
      <w:pPr>
        <w:ind w:left="454"/>
      </w:pPr>
      <w:r>
        <w:rPr>
          <w:b/>
          <w:color w:val="C00000"/>
          <w:sz w:val="21"/>
        </w:rPr>
        <w:t xml:space="preserve">RESPUESTA EXACTA: </w:t>
      </w:r>
      <w:r>
        <w:rPr>
          <w:b/>
          <w:sz w:val="21"/>
        </w:rPr>
        <w:t>Encefalopatía de Wernicke.</w:t>
      </w:r>
    </w:p>
    <w:p/>
    <w:p>
      <w:pPr>
        <w:pStyle w:val="ListNumber"/>
      </w:pPr>
      <w:r>
        <w:rPr>
          <w:sz w:val="21"/>
        </w:rPr>
        <w:t>En el tratamiento de las convulsiones de la eclampsia el fármaco de elección, entre los siguientes, es:</w:t>
      </w:r>
    </w:p>
    <w:p>
      <w:pPr>
        <w:ind w:left="454"/>
      </w:pPr>
      <w:r>
        <w:rPr>
          <w:b/>
          <w:color w:val="C00000"/>
          <w:sz w:val="21"/>
        </w:rPr>
        <w:t xml:space="preserve">RESPUESTA EXACTA: </w:t>
      </w:r>
      <w:r>
        <w:rPr>
          <w:b/>
          <w:sz w:val="21"/>
        </w:rPr>
        <w:t>Sulfato de magnesio.</w:t>
      </w:r>
    </w:p>
    <w:p/>
    <w:p>
      <w:pPr>
        <w:pStyle w:val="ListNumber"/>
      </w:pPr>
      <w:r>
        <w:rPr>
          <w:sz w:val="21"/>
        </w:rPr>
        <w:t>El índice de masa corporal o índice de Quetelet se calcula:</w:t>
      </w:r>
    </w:p>
    <w:p>
      <w:pPr>
        <w:ind w:left="454"/>
      </w:pPr>
      <w:r>
        <w:rPr>
          <w:b/>
          <w:color w:val="C00000"/>
          <w:sz w:val="21"/>
        </w:rPr>
        <w:t xml:space="preserve">RESPUESTA EXACTA: </w:t>
      </w:r>
      <w:r>
        <w:rPr>
          <w:b/>
          <w:sz w:val="21"/>
        </w:rPr>
        <w:t>Peso en Kg/ (altura en m)2.</w:t>
      </w:r>
    </w:p>
    <w:p/>
    <w:p>
      <w:pPr>
        <w:pStyle w:val="ListNumber"/>
      </w:pPr>
      <w:r>
        <w:rPr>
          <w:sz w:val="21"/>
        </w:rPr>
        <w:t>Nefropatía DM tipo 1. FALSA:</w:t>
      </w:r>
    </w:p>
    <w:p>
      <w:pPr>
        <w:ind w:left="454"/>
      </w:pPr>
      <w:r>
        <w:rPr>
          <w:b/>
          <w:color w:val="C00000"/>
          <w:sz w:val="21"/>
        </w:rPr>
        <w:t xml:space="preserve">RESPUESTA EXACTA: </w:t>
      </w:r>
      <w:r>
        <w:rPr>
          <w:b/>
          <w:sz w:val="21"/>
        </w:rPr>
        <w:t>Control glucemia dudoso enlentezca progresión nefropatía clínica</w:t>
      </w:r>
    </w:p>
    <w:p/>
    <w:p>
      <w:pPr>
        <w:pStyle w:val="ListNumber"/>
      </w:pPr>
      <w:r>
        <w:rPr>
          <w:sz w:val="21"/>
        </w:rPr>
        <w:t>Niño 20 meses con leucocoria. Enfermedad posible:</w:t>
      </w:r>
    </w:p>
    <w:p>
      <w:pPr>
        <w:ind w:left="454"/>
      </w:pPr>
      <w:r>
        <w:rPr>
          <w:b/>
          <w:color w:val="C00000"/>
          <w:sz w:val="21"/>
        </w:rPr>
        <w:t xml:space="preserve">RESPUESTA EXACTA: </w:t>
      </w:r>
      <w:r>
        <w:rPr>
          <w:b/>
          <w:sz w:val="21"/>
        </w:rPr>
        <w:t>Retinoblastoma</w:t>
      </w:r>
    </w:p>
    <w:p/>
    <w:p>
      <w:pPr>
        <w:pStyle w:val="ListNumber"/>
      </w:pPr>
      <w:r>
        <w:rPr>
          <w:sz w:val="21"/>
        </w:rPr>
        <w:t>NO contraindicación absoluta anticonceptivos orales:</w:t>
      </w:r>
    </w:p>
    <w:p>
      <w:pPr>
        <w:ind w:left="454"/>
      </w:pPr>
      <w:r>
        <w:rPr>
          <w:b/>
          <w:color w:val="C00000"/>
          <w:sz w:val="21"/>
        </w:rPr>
        <w:t xml:space="preserve">RESPUESTA EXACTA: </w:t>
      </w:r>
      <w:r>
        <w:rPr>
          <w:b/>
          <w:sz w:val="21"/>
        </w:rPr>
        <w:t>DM sin vasculopatía</w:t>
      </w:r>
    </w:p>
    <w:p/>
    <w:p>
      <w:pPr>
        <w:pStyle w:val="ListNumber"/>
      </w:pPr>
      <w:r>
        <w:rPr>
          <w:sz w:val="21"/>
        </w:rPr>
        <w:t>Niño 4 años, IRA + anemia + esquistocitos. Diagnóstico:</w:t>
      </w:r>
    </w:p>
    <w:p>
      <w:pPr>
        <w:ind w:left="454"/>
      </w:pPr>
      <w:r>
        <w:rPr>
          <w:b/>
          <w:color w:val="C00000"/>
          <w:sz w:val="21"/>
        </w:rPr>
        <w:t xml:space="preserve">RESPUESTA EXACTA: </w:t>
      </w:r>
      <w:r>
        <w:rPr>
          <w:b/>
          <w:sz w:val="21"/>
        </w:rPr>
        <w:t>Síndrome hemolítico-urémico</w:t>
      </w:r>
    </w:p>
    <w:p/>
    <w:p>
      <w:pPr>
        <w:pStyle w:val="ListNumber"/>
      </w:pPr>
      <w:r>
        <w:rPr>
          <w:sz w:val="21"/>
        </w:rPr>
        <w:t>Niño 10 años, dolor escrotal brusco post-fútbol, no reflejo cremastérico, testículo elevado. Tratamiento:</w:t>
      </w:r>
    </w:p>
    <w:p>
      <w:pPr>
        <w:ind w:left="454"/>
      </w:pPr>
      <w:r>
        <w:rPr>
          <w:b/>
          <w:color w:val="C00000"/>
          <w:sz w:val="21"/>
        </w:rPr>
        <w:t xml:space="preserve">RESPUESTA EXACTA: </w:t>
      </w:r>
      <w:r>
        <w:rPr>
          <w:b/>
          <w:sz w:val="21"/>
        </w:rPr>
        <w:t>Exploración quirúrgica inmediata</w:t>
      </w:r>
    </w:p>
    <w:p/>
    <w:p>
      <w:pPr>
        <w:pStyle w:val="ListNumber"/>
      </w:pPr>
      <w:r>
        <w:rPr>
          <w:sz w:val="21"/>
        </w:rPr>
        <w:t>¿Cuál es la prevalencia de asma en los niños de 6-7 años?</w:t>
      </w:r>
    </w:p>
    <w:p>
      <w:pPr>
        <w:ind w:left="454"/>
      </w:pPr>
      <w:r>
        <w:rPr>
          <w:b/>
          <w:color w:val="C00000"/>
          <w:sz w:val="21"/>
        </w:rPr>
        <w:t xml:space="preserve">RESPUESTA EXACTA: </w:t>
      </w:r>
      <w:r>
        <w:rPr>
          <w:b/>
          <w:sz w:val="21"/>
        </w:rPr>
        <w:t>11.7 %.</w:t>
      </w:r>
    </w:p>
    <w:p>
      <w:pPr>
        <w:ind w:left="454"/>
      </w:pPr>
      <w:r>
        <w:rPr>
          <w:i/>
          <w:color w:val="404040"/>
          <w:sz w:val="18"/>
        </w:rPr>
        <w:t>Ancla de memoria: La prevalencia global del asma en niños de 6-7 años fue de 11.7%. Caso Paciente de 35 años, G2P1, pareja de 48 años, cursando segundo trimestre de gestación, acude a control prenatal rutinario. No presenta sangrado, dolor, contracciones ni disminución de movimientos fetales. No hay antecedentes fami</w:t>
      </w:r>
    </w:p>
    <w:p/>
    <w:p>
      <w:pPr>
        <w:pStyle w:val="ListNumber"/>
      </w:pPr>
      <w:r>
        <w:rPr>
          <w:sz w:val="21"/>
        </w:rPr>
        <w:t>¿En qué semanas de gestación se recomienda administrar la vacuna Tdpa en paciente previamente inmunizada?</w:t>
      </w:r>
    </w:p>
    <w:p>
      <w:pPr>
        <w:ind w:left="454"/>
      </w:pPr>
      <w:r>
        <w:rPr>
          <w:b/>
          <w:color w:val="C00000"/>
          <w:sz w:val="21"/>
        </w:rPr>
        <w:t xml:space="preserve">RESPUESTA EXACTA: </w:t>
      </w:r>
      <w:r>
        <w:rPr>
          <w:b/>
          <w:sz w:val="21"/>
        </w:rPr>
        <w:t>27-36</w:t>
      </w:r>
    </w:p>
    <w:p>
      <w:pPr>
        <w:ind w:left="454"/>
      </w:pPr>
      <w:r>
        <w:rPr>
          <w:i/>
          <w:color w:val="404040"/>
          <w:sz w:val="18"/>
        </w:rPr>
        <w:t>Ancla de memoria: Se recomienda entre las semanas 27 y 36 de gestación con el objetivo de evitar oportunamente que la mujer adquiera tetanos o tosferina y contagie al neonato, favorece la transmisión pasiva transplacentaria de anticuerpos al feto, que lo protegerán hasta que inicie la primo vacunación a los 2-3 meses</w:t>
      </w:r>
    </w:p>
    <w:p/>
    <w:p>
      <w:pPr>
        <w:pStyle w:val="ListNumber"/>
      </w:pPr>
      <w:r>
        <w:rPr>
          <w:sz w:val="21"/>
        </w:rPr>
        <w:t>Según la actualización del 2022, ¿Cuál es la población blanco para la vacuna tetravalente contra VPH en México como herramienta de Salud Pública?</w:t>
      </w:r>
    </w:p>
    <w:p>
      <w:pPr>
        <w:ind w:left="454"/>
      </w:pPr>
      <w:r>
        <w:rPr>
          <w:b/>
          <w:color w:val="C00000"/>
          <w:sz w:val="21"/>
        </w:rPr>
        <w:t xml:space="preserve">RESPUESTA EXACTA: </w:t>
      </w:r>
      <w:r>
        <w:rPr>
          <w:b/>
          <w:sz w:val="21"/>
        </w:rPr>
        <w:t>10 a 49 años de edad sin importar su vida sexual</w:t>
      </w:r>
    </w:p>
    <w:p>
      <w:pPr>
        <w:ind w:left="454"/>
      </w:pPr>
      <w:r>
        <w:rPr>
          <w:i/>
          <w:color w:val="404040"/>
          <w:sz w:val="18"/>
        </w:rPr>
        <w:t>Ancla de memoria: Está indicada de acuerdo a la política rectora en salud pública en el país, en niñas y mujeres adolescentes a partir de los 10 años de edad, y en mujeres cis y trans de 11 a 49 años, para la prevención de lesiones premalignas del cuello uterino, vulva y vagina causadas por VPH 16 y 18, y para la pre</w:t>
      </w:r>
    </w:p>
    <w:p/>
    <w:p>
      <w:pPr>
        <w:pStyle w:val="ListNumber"/>
      </w:pPr>
      <w:r>
        <w:rPr>
          <w:sz w:val="21"/>
        </w:rPr>
        <w:t>¿Cuál es la efectividad de esta vacuna frente a lesiones cervicales en pacientes que no han iniciado vida sexual o que no están infectadas por algún serotipo de VPH?</w:t>
      </w:r>
    </w:p>
    <w:p>
      <w:pPr>
        <w:ind w:left="454"/>
      </w:pPr>
      <w:r>
        <w:rPr>
          <w:b/>
          <w:color w:val="C00000"/>
          <w:sz w:val="21"/>
        </w:rPr>
        <w:t xml:space="preserve">RESPUESTA EXACTA: </w:t>
      </w:r>
      <w:r>
        <w:rPr>
          <w:b/>
          <w:sz w:val="21"/>
        </w:rPr>
        <w:t>98.2%</w:t>
      </w:r>
    </w:p>
    <w:p>
      <w:pPr>
        <w:ind w:left="454"/>
      </w:pPr>
      <w:r>
        <w:rPr>
          <w:i/>
          <w:color w:val="404040"/>
          <w:sz w:val="18"/>
        </w:rPr>
        <w:t xml:space="preserve">Ancla de memoria: Efectividad del 98.2% (IC95: 93.3 a 99.8), en vacunadas todavía no infectadas por VPH frente a lesiones cervicales, vulvares y vaginales. Caso Paciente femenino de 34 años, G3, P2, con embarazo gemelar monocorial-biamniótico de 29 semanas, con vigilancia desde la semana 12. En ultrasonidos previos, </w:t>
      </w:r>
    </w:p>
    <w:p/>
    <w:p>
      <w:pPr>
        <w:pStyle w:val="ListNumber"/>
      </w:pPr>
      <w:r>
        <w:rPr>
          <w:sz w:val="21"/>
        </w:rPr>
        <w:t>¿Cuándo se debe aplicar la primera dosis de la vacuna SRP?</w:t>
      </w:r>
    </w:p>
    <w:p>
      <w:pPr>
        <w:ind w:left="454"/>
      </w:pPr>
      <w:r>
        <w:rPr>
          <w:b/>
          <w:color w:val="C00000"/>
          <w:sz w:val="21"/>
        </w:rPr>
        <w:t xml:space="preserve">RESPUESTA EXACTA: </w:t>
      </w:r>
      <w:r>
        <w:rPr>
          <w:b/>
          <w:sz w:val="21"/>
        </w:rPr>
        <w:t>A los 12 meses</w:t>
      </w:r>
    </w:p>
    <w:p>
      <w:pPr>
        <w:ind w:left="454"/>
      </w:pPr>
      <w:r>
        <w:rPr>
          <w:i/>
          <w:color w:val="404040"/>
          <w:sz w:val="18"/>
        </w:rPr>
        <w:t>Ancla de memoria: La vacuna SRP (sarampión, rubéola y parotiditis) se debe aplicar en una primera dosis al año de vida y en una segunda dosis a los 6 años de vida.</w:t>
      </w:r>
    </w:p>
    <w:p/>
    <w:p>
      <w:pPr>
        <w:pStyle w:val="ListNumber"/>
      </w:pPr>
      <w:r>
        <w:rPr>
          <w:sz w:val="21"/>
        </w:rPr>
        <w:t>¿Cuando se aplica el refuerzo (tercera dosis) de la vacuna neumocócica conjugada?</w:t>
      </w:r>
    </w:p>
    <w:p>
      <w:pPr>
        <w:ind w:left="454"/>
      </w:pPr>
      <w:r>
        <w:rPr>
          <w:b/>
          <w:color w:val="C00000"/>
          <w:sz w:val="21"/>
        </w:rPr>
        <w:t xml:space="preserve">RESPUESTA EXACTA: </w:t>
      </w:r>
      <w:r>
        <w:rPr>
          <w:b/>
          <w:sz w:val="21"/>
        </w:rPr>
        <w:t>12 meses</w:t>
      </w:r>
    </w:p>
    <w:p>
      <w:pPr>
        <w:ind w:left="454"/>
      </w:pPr>
      <w:r>
        <w:rPr>
          <w:i/>
          <w:color w:val="404040"/>
          <w:sz w:val="18"/>
        </w:rPr>
        <w:t>Ancla de memoria: La vacuna neumocócica conjugada se aplica en 3 dosis. La primera dosis se aplica a los 2 meses, la segunda a los 4 meses y la tercera a los 12 meses. Caso Mujer de 62 años con antecedente de Diabetes mellitus en tratamiento con metformina 850 mg cada 8 hrs y Enfermedad renal crónica KDIGO G4 en trat</w:t>
      </w:r>
    </w:p>
    <w:p/>
    <w:p>
      <w:pPr>
        <w:pStyle w:val="Heading1"/>
      </w:pPr>
      <w:r>
        <w:t>Medicina Interna</w:t>
      </w:r>
    </w:p>
    <w:p>
      <w:pPr>
        <w:pStyle w:val="ListNumber"/>
      </w:pPr>
      <w:r>
        <w:rPr>
          <w:sz w:val="21"/>
        </w:rPr>
        <w:t>¿Cuál de las siguientes es la definición del período de incubación de una enfermedad infecciosa?</w:t>
      </w:r>
    </w:p>
    <w:p>
      <w:pPr>
        <w:ind w:left="454"/>
      </w:pPr>
      <w:r>
        <w:rPr>
          <w:b/>
          <w:color w:val="C00000"/>
          <w:sz w:val="21"/>
        </w:rPr>
        <w:t xml:space="preserve">RESPUESTA EXACTA: </w:t>
      </w:r>
      <w:r>
        <w:rPr>
          <w:b/>
          <w:sz w:val="21"/>
        </w:rPr>
        <w:t>El tiempo entre la invasión por el agente infeccioso y la aparición del primer signo o síntoma de la enfermedad.</w:t>
      </w:r>
    </w:p>
    <w:p/>
    <w:p>
      <w:pPr>
        <w:pStyle w:val="ListNumber"/>
      </w:pPr>
      <w:r>
        <w:rPr>
          <w:sz w:val="21"/>
        </w:rPr>
        <w:t>¿El hiperesplenismo es causa de esplenectomía en que porcentaje?</w:t>
      </w:r>
    </w:p>
    <w:p>
      <w:pPr>
        <w:ind w:left="454"/>
      </w:pPr>
      <w:r>
        <w:rPr>
          <w:b/>
          <w:color w:val="C00000"/>
          <w:sz w:val="21"/>
        </w:rPr>
        <w:t xml:space="preserve">RESPUESTA EXACTA: </w:t>
      </w:r>
      <w:r>
        <w:rPr>
          <w:b/>
          <w:sz w:val="21"/>
        </w:rPr>
        <w:t>50%</w:t>
      </w:r>
    </w:p>
    <w:p>
      <w:pPr>
        <w:ind w:left="454"/>
      </w:pPr>
      <w:r>
        <w:rPr>
          <w:i/>
          <w:color w:val="404040"/>
          <w:sz w:val="18"/>
        </w:rPr>
        <w:t xml:space="preserve">Ancla de memoria: El hiperesplenismo es la causa del 50%de las esplenectomías mientras la esplenectomía por trauma corresponde del 10 al 30%. Caso Paciente masculino de 14 años, sin antecedentes patológicos de relevancia, acude a consulta por la presencia de una tumoración en la línea media del cuello, detectada por </w:t>
      </w:r>
    </w:p>
    <w:p/>
    <w:p>
      <w:pPr>
        <w:pStyle w:val="ListNumber"/>
      </w:pPr>
      <w:r>
        <w:rPr>
          <w:sz w:val="21"/>
        </w:rPr>
        <w:t>¿Qué puntaje tiene en escala de coma de Glasgow?</w:t>
      </w:r>
    </w:p>
    <w:p>
      <w:pPr>
        <w:ind w:left="454"/>
      </w:pPr>
      <w:r>
        <w:rPr>
          <w:b/>
          <w:color w:val="C00000"/>
          <w:sz w:val="21"/>
        </w:rPr>
        <w:t xml:space="preserve">RESPUESTA EXACTA: </w:t>
      </w:r>
      <w:r>
        <w:rPr>
          <w:b/>
          <w:sz w:val="21"/>
        </w:rPr>
        <w:t>10</w:t>
      </w:r>
    </w:p>
    <w:p>
      <w:pPr>
        <w:ind w:left="454"/>
      </w:pPr>
      <w:r>
        <w:rPr>
          <w:i/>
          <w:color w:val="404040"/>
          <w:sz w:val="18"/>
        </w:rPr>
        <w:t>Ancla de memoria: En apertura ocular tiene 2 puntos, respuesta motora 4 puntos y respuesta verbal 4.</w:t>
      </w:r>
    </w:p>
    <w:p/>
    <w:p>
      <w:pPr>
        <w:pStyle w:val="ListNumber"/>
      </w:pPr>
      <w:r>
        <w:rPr>
          <w:sz w:val="21"/>
        </w:rPr>
        <w:t>¿Cuál es el periodo de incubación de esta patología?</w:t>
      </w:r>
    </w:p>
    <w:p>
      <w:pPr>
        <w:ind w:left="454"/>
      </w:pPr>
      <w:r>
        <w:rPr>
          <w:b/>
          <w:color w:val="C00000"/>
          <w:sz w:val="21"/>
        </w:rPr>
        <w:t xml:space="preserve">RESPUESTA EXACTA: </w:t>
      </w:r>
      <w:r>
        <w:rPr>
          <w:b/>
          <w:sz w:val="21"/>
        </w:rPr>
        <w:t>1-7 días</w:t>
      </w:r>
    </w:p>
    <w:p>
      <w:pPr>
        <w:ind w:left="454"/>
      </w:pPr>
      <w:r>
        <w:rPr>
          <w:i/>
          <w:color w:val="404040"/>
          <w:sz w:val="18"/>
        </w:rPr>
        <w:t>Ancla de memoria: El periodo de incubación de la escarlatina es de 1-7 días.</w:t>
      </w:r>
    </w:p>
    <w:p/>
    <w:p>
      <w:pPr>
        <w:pStyle w:val="ListNumber"/>
      </w:pPr>
      <w:r>
        <w:rPr>
          <w:sz w:val="21"/>
        </w:rPr>
        <w:t>¿En qué edad es mas común encontrar los primeros síntomas de una comunicación interventricular?</w:t>
      </w:r>
    </w:p>
    <w:p>
      <w:pPr>
        <w:ind w:left="454"/>
      </w:pPr>
      <w:r>
        <w:rPr>
          <w:b/>
          <w:color w:val="C00000"/>
          <w:sz w:val="21"/>
        </w:rPr>
        <w:t xml:space="preserve">RESPUESTA EXACTA: </w:t>
      </w:r>
      <w:r>
        <w:rPr>
          <w:b/>
          <w:sz w:val="21"/>
        </w:rPr>
        <w:t>Entre el primer y segundo mes de vida extrauterina</w:t>
      </w:r>
    </w:p>
    <w:p>
      <w:pPr>
        <w:ind w:left="454"/>
      </w:pPr>
      <w:r>
        <w:rPr>
          <w:i/>
          <w:color w:val="404040"/>
          <w:sz w:val="18"/>
        </w:rPr>
        <w:t>Ancla de memoria: Es poco común que se presenten síntomas en el recién nacido dada la transición de la circulación fetal a la neonatal por el aumento de resistencias vasculares pulmonares por lo que los síntomas comienzan de la semana 4 a 8 de vida extrauterina cuando descienden las resistencias vasculares pulmonares</w:t>
      </w:r>
    </w:p>
    <w:p/>
    <w:p>
      <w:pPr>
        <w:pStyle w:val="ListNumber"/>
      </w:pPr>
      <w:r>
        <w:rPr>
          <w:sz w:val="21"/>
        </w:rPr>
        <w:t>¿Cuál es la causa de uropatía obstructiva más común?</w:t>
      </w:r>
    </w:p>
    <w:p>
      <w:pPr>
        <w:ind w:left="454"/>
      </w:pPr>
      <w:r>
        <w:rPr>
          <w:b/>
          <w:color w:val="C00000"/>
          <w:sz w:val="21"/>
        </w:rPr>
        <w:t xml:space="preserve">RESPUESTA EXACTA: </w:t>
      </w:r>
      <w:r>
        <w:rPr>
          <w:b/>
          <w:sz w:val="21"/>
        </w:rPr>
        <w:t>Estenosis ureteropiélica.</w:t>
      </w:r>
    </w:p>
    <w:p>
      <w:pPr>
        <w:ind w:left="454"/>
      </w:pPr>
      <w:r>
        <w:rPr>
          <w:i/>
          <w:color w:val="404040"/>
          <w:sz w:val="18"/>
        </w:rPr>
        <w:t>Ancla de memoria: La uropatía obstructiva más común es la estenosis de la unión ureteropiélica. Se reporta en 1 de cada 750 a 1500 casos de nacidos vivos. Cuenta con el 60-80 % de todas las uropatías obstructivas. Sin embargo, la malformación más común de todas es el reflujo vesicoureteral.</w:t>
      </w:r>
    </w:p>
    <w:p/>
    <w:p>
      <w:pPr>
        <w:pStyle w:val="ListNumber"/>
      </w:pPr>
      <w:r>
        <w:rPr>
          <w:sz w:val="21"/>
        </w:rPr>
        <w:t>¿Cuál es la triada clínica de la LTA?</w:t>
      </w:r>
    </w:p>
    <w:p>
      <w:pPr>
        <w:ind w:left="454"/>
      </w:pPr>
      <w:r>
        <w:rPr>
          <w:b/>
          <w:color w:val="C00000"/>
          <w:sz w:val="21"/>
        </w:rPr>
        <w:t xml:space="preserve">RESPUESTA EXACTA: </w:t>
      </w:r>
      <w:r>
        <w:rPr>
          <w:b/>
          <w:sz w:val="21"/>
        </w:rPr>
        <w:t>Disfonía+estrido laríngeo+tos traqueal</w:t>
      </w:r>
    </w:p>
    <w:p>
      <w:pPr>
        <w:ind w:left="454"/>
      </w:pPr>
      <w:r>
        <w:rPr>
          <w:i/>
          <w:color w:val="404040"/>
          <w:sz w:val="18"/>
        </w:rPr>
        <w:t>Ancla de memoria: El diagnóstico de laringotraqueitis aguda (LTA) se base en la triada clínica: • disfonía • estridor laringeo inspiratorio • tos traqueal El diagnóstico de LTA es confiable basado en el cuadro clínico, historia clínica completa y un examen físico cuidadoso.</w:t>
      </w:r>
    </w:p>
    <w:p/>
    <w:p>
      <w:pPr>
        <w:pStyle w:val="ListNumber"/>
      </w:pPr>
      <w:r>
        <w:rPr>
          <w:sz w:val="21"/>
        </w:rPr>
        <w:t>¿Qué escala se utiliza para evaluar la gravedad de la LTA?</w:t>
      </w:r>
    </w:p>
    <w:p>
      <w:pPr>
        <w:ind w:left="454"/>
      </w:pPr>
      <w:r>
        <w:rPr>
          <w:b/>
          <w:color w:val="C00000"/>
          <w:sz w:val="21"/>
        </w:rPr>
        <w:t xml:space="preserve">RESPUESTA EXACTA: </w:t>
      </w:r>
      <w:r>
        <w:rPr>
          <w:b/>
          <w:sz w:val="21"/>
        </w:rPr>
        <w:t>Escala Westley</w:t>
      </w:r>
    </w:p>
    <w:p>
      <w:pPr>
        <w:ind w:left="454"/>
      </w:pPr>
      <w:r>
        <w:rPr>
          <w:i/>
          <w:color w:val="404040"/>
          <w:sz w:val="18"/>
        </w:rPr>
        <w:t>Ancla de memoria: Un número de sistemas de evaluación clínica (por puntuación) como la escala de Westley se desarrolló para la evaluación de la gravedad de la LTA. Sin embargo no existe evidencia que la utilización de ésta escala mejore el resultado clínico y el manejo de los niños con LTA. Caso Una paciente de 3 año</w:t>
      </w:r>
    </w:p>
    <w:p/>
    <w:p>
      <w:pPr>
        <w:pStyle w:val="ListNumber"/>
      </w:pPr>
      <w:r>
        <w:rPr>
          <w:sz w:val="21"/>
        </w:rPr>
        <w:t>¿Cuál es la dosis letal de la tetanoespasmina?</w:t>
      </w:r>
    </w:p>
    <w:p>
      <w:pPr>
        <w:ind w:left="454"/>
      </w:pPr>
      <w:r>
        <w:rPr>
          <w:b/>
          <w:color w:val="C00000"/>
          <w:sz w:val="21"/>
        </w:rPr>
        <w:t xml:space="preserve">RESPUESTA EXACTA: </w:t>
      </w:r>
      <w:r>
        <w:rPr>
          <w:b/>
          <w:sz w:val="21"/>
        </w:rPr>
        <w:t>2 a 5 ng/kg</w:t>
      </w:r>
    </w:p>
    <w:p>
      <w:pPr>
        <w:ind w:left="454"/>
      </w:pPr>
      <w:r>
        <w:rPr>
          <w:i/>
          <w:color w:val="404040"/>
          <w:sz w:val="18"/>
        </w:rPr>
        <w:t>Ancla de memoria: La toxina del tétanos, la tetanospasmina, es una de las más potentes, con una dosis letal media para el humano de menos de 2 a 5 ng/Kg. Caso Neonato que cursa sus primeras horas de vida extrauterina, nacido por parto fortuito en el domicilio de la madre. Es producto de la séptima gesta, traído de ma</w:t>
      </w:r>
    </w:p>
    <w:p/>
    <w:p>
      <w:pPr>
        <w:pStyle w:val="ListNumber"/>
      </w:pPr>
      <w:r>
        <w:rPr>
          <w:sz w:val="21"/>
        </w:rPr>
        <w:t>¿Qué puntaje de escala de Silverman-Anderson presenta este paciente?</w:t>
      </w:r>
    </w:p>
    <w:p>
      <w:pPr>
        <w:ind w:left="454"/>
      </w:pPr>
      <w:r>
        <w:rPr>
          <w:b/>
          <w:color w:val="C00000"/>
          <w:sz w:val="21"/>
        </w:rPr>
        <w:t xml:space="preserve">RESPUESTA EXACTA: </w:t>
      </w:r>
      <w:r>
        <w:rPr>
          <w:b/>
          <w:sz w:val="21"/>
        </w:rPr>
        <w:t>3</w:t>
      </w:r>
    </w:p>
    <w:p>
      <w:pPr>
        <w:ind w:left="454"/>
      </w:pPr>
      <w:r>
        <w:rPr>
          <w:i/>
          <w:color w:val="404040"/>
          <w:sz w:val="18"/>
        </w:rPr>
        <w:t xml:space="preserve">Ancla de memoria: La escala de Silverman-Anderson se utiliza para evaluar el grado de dificultad respiratoria en pacientes recién nacidos. Valora 5 parámetros, los cuales son: aleteo nasal, quejido respiratorio, tiraje intercostal, retracción xifoidea y disociación toraco-abdominal (dando un puntaje de 0 a 2 en cada </w:t>
      </w:r>
    </w:p>
    <w:p/>
    <w:p>
      <w:pPr>
        <w:pStyle w:val="ListNumber"/>
      </w:pPr>
      <w:r>
        <w:rPr>
          <w:sz w:val="21"/>
        </w:rPr>
        <w:t>¿Cuál es un marcador ultrasonográfico del segundo trimestre asociado a trisomía 21?</w:t>
      </w:r>
    </w:p>
    <w:p>
      <w:pPr>
        <w:ind w:left="454"/>
      </w:pPr>
      <w:r>
        <w:rPr>
          <w:b/>
          <w:color w:val="C00000"/>
          <w:sz w:val="21"/>
        </w:rPr>
        <w:t xml:space="preserve">RESPUESTA EXACTA: </w:t>
      </w:r>
      <w:r>
        <w:rPr>
          <w:b/>
          <w:sz w:val="21"/>
        </w:rPr>
        <w:t>Fémur corto &lt;p5</w:t>
      </w:r>
    </w:p>
    <w:p>
      <w:pPr>
        <w:ind w:left="454"/>
      </w:pPr>
      <w:r>
        <w:rPr>
          <w:i/>
          <w:color w:val="404040"/>
          <w:sz w:val="18"/>
        </w:rPr>
        <w:t xml:space="preserve">Ancla de memoria: En el tamiz estructural del segundo trimestre para trisomía 21, uno de los marcadores más consistentes es el fémur corto por debajo del percentil 5. Su relevancia radica en que refleja alteraciones del crecimiento óseo características de algunas aneuploidías, especialmente trisomía 21. Aunque es un </w:t>
      </w:r>
    </w:p>
    <w:p/>
    <w:p>
      <w:pPr>
        <w:pStyle w:val="ListNumber"/>
      </w:pPr>
      <w:r>
        <w:rPr>
          <w:sz w:val="21"/>
        </w:rPr>
        <w:t>¿Cuál es la dosis recomendada de Riboflavina?</w:t>
      </w:r>
    </w:p>
    <w:p>
      <w:pPr>
        <w:ind w:left="454"/>
      </w:pPr>
      <w:r>
        <w:rPr>
          <w:b/>
          <w:color w:val="C00000"/>
          <w:sz w:val="21"/>
        </w:rPr>
        <w:t xml:space="preserve">RESPUESTA EXACTA: </w:t>
      </w:r>
      <w:r>
        <w:rPr>
          <w:b/>
          <w:sz w:val="21"/>
        </w:rPr>
        <w:t>100 a 200 mg/día</w:t>
      </w:r>
    </w:p>
    <w:p>
      <w:pPr>
        <w:ind w:left="454"/>
      </w:pPr>
      <w:r>
        <w:rPr>
          <w:i/>
          <w:color w:val="404040"/>
          <w:sz w:val="18"/>
        </w:rPr>
        <w:t>Ancla de memoria: La dosis de riboflavina recomendada para los pacientes es de 100 a 200 mg/día. El inicio de los síntomas es en el primer año de vida: caracterizado por hipoglucemia intermitente, letargo, y coma. La presentación típica es con letargo progresivo, llegando hasta coma durante un ayuno o durante un epis</w:t>
      </w:r>
    </w:p>
    <w:p/>
    <w:p>
      <w:pPr>
        <w:pStyle w:val="ListNumber"/>
      </w:pPr>
      <w:r>
        <w:rPr>
          <w:sz w:val="21"/>
        </w:rPr>
        <w:t>¿Qué puntaje de los criterios de Centor tiene el paciente?</w:t>
      </w:r>
    </w:p>
    <w:p>
      <w:pPr>
        <w:ind w:left="454"/>
      </w:pPr>
      <w:r>
        <w:rPr>
          <w:b/>
          <w:color w:val="C00000"/>
          <w:sz w:val="21"/>
        </w:rPr>
        <w:t xml:space="preserve">RESPUESTA EXACTA: </w:t>
      </w:r>
      <w:r>
        <w:rPr>
          <w:b/>
          <w:sz w:val="21"/>
        </w:rPr>
        <w:t>5</w:t>
      </w:r>
    </w:p>
    <w:p>
      <w:pPr>
        <w:ind w:left="454"/>
      </w:pPr>
      <w:r>
        <w:rPr>
          <w:i/>
          <w:color w:val="404040"/>
          <w:sz w:val="18"/>
        </w:rPr>
        <w:t>Ancla de memoria: Los criterios de Centor es una herramienta para realizar el diagnóstico clínico de faringoamigdalitis bacteriana por EBHGA. Los parámetros son los siguientes: fiebre 1 punto, exudado faríngeo 1 punto, adenomegalias 1 punto, ausencia de tos 1 punto, edad comprendida entre 3 y 15 años 1 punto, edad co</w:t>
      </w:r>
    </w:p>
    <w:p/>
    <w:p>
      <w:pPr>
        <w:pStyle w:val="ListNumber"/>
      </w:pPr>
      <w:r>
        <w:rPr>
          <w:sz w:val="21"/>
        </w:rPr>
        <w:t>¿Cuál es el primer dato que evalúa la escala de Silverman Anderson?</w:t>
      </w:r>
    </w:p>
    <w:p>
      <w:pPr>
        <w:ind w:left="454"/>
      </w:pPr>
      <w:r>
        <w:rPr>
          <w:b/>
          <w:color w:val="C00000"/>
          <w:sz w:val="21"/>
        </w:rPr>
        <w:t xml:space="preserve">RESPUESTA EXACTA: </w:t>
      </w:r>
      <w:r>
        <w:rPr>
          <w:b/>
          <w:sz w:val="21"/>
        </w:rPr>
        <w:t>Aleteo nasal</w:t>
      </w:r>
    </w:p>
    <w:p>
      <w:pPr>
        <w:ind w:left="454"/>
      </w:pPr>
      <w:r>
        <w:rPr>
          <w:i/>
          <w:color w:val="404040"/>
          <w:sz w:val="18"/>
        </w:rPr>
        <w:t>Ancla de memoria: La escala Silverman Anderson valora la dificultad respiratoria en el recién nacido, se debe realizar a los 10 minutos de vida. Los parámetros son: Aleteo nasal, Quejido espiratorio, retracción xifoidea, tiraje intercostal y disociación toracoabdominal. Caso Es traído a tu consulta un paciente mascul</w:t>
      </w:r>
    </w:p>
    <w:p/>
    <w:p>
      <w:pPr>
        <w:pStyle w:val="ListNumber"/>
      </w:pPr>
      <w:r>
        <w:rPr>
          <w:sz w:val="21"/>
        </w:rPr>
        <w:t>¿Cuál es la dosis de ácido fólico a iniciar en la paciente?</w:t>
      </w:r>
    </w:p>
    <w:p>
      <w:pPr>
        <w:ind w:left="454"/>
      </w:pPr>
      <w:r>
        <w:rPr>
          <w:b/>
          <w:color w:val="C00000"/>
          <w:sz w:val="21"/>
        </w:rPr>
        <w:t xml:space="preserve">RESPUESTA EXACTA: </w:t>
      </w:r>
      <w:r>
        <w:rPr>
          <w:b/>
          <w:sz w:val="21"/>
        </w:rPr>
        <w:t>5 mg</w:t>
      </w:r>
    </w:p>
    <w:p>
      <w:pPr>
        <w:ind w:left="454"/>
      </w:pPr>
      <w:r>
        <w:rPr>
          <w:i/>
          <w:color w:val="404040"/>
          <w:sz w:val="18"/>
        </w:rPr>
        <w:t>Ancla de memoria: Las embarazadas con diabetes muestran mayor incidencia de malformaciones fetales, siendo las más frecuentes las cardiovasculares y del tubo neural, siendo mayor el riesgo en pacientes con descontrol metabólico, por lo que se debe considerar la dosis de ácido fólico de 5 mg en lugar de 0.4 mg. Caso L</w:t>
      </w:r>
    </w:p>
    <w:p/>
    <w:p>
      <w:pPr>
        <w:pStyle w:val="ListNumber"/>
      </w:pPr>
      <w:r>
        <w:rPr>
          <w:sz w:val="21"/>
        </w:rPr>
        <w:t>¿Las trompas de falopio cuanto miden aproximadamente?</w:t>
      </w:r>
    </w:p>
    <w:p>
      <w:pPr>
        <w:ind w:left="454"/>
      </w:pPr>
      <w:r>
        <w:rPr>
          <w:b/>
          <w:color w:val="C00000"/>
          <w:sz w:val="21"/>
        </w:rPr>
        <w:t xml:space="preserve">RESPUESTA EXACTA: </w:t>
      </w:r>
      <w:r>
        <w:rPr>
          <w:b/>
          <w:sz w:val="21"/>
        </w:rPr>
        <w:t>8-14 cm</w:t>
      </w:r>
    </w:p>
    <w:p>
      <w:pPr>
        <w:ind w:left="454"/>
      </w:pPr>
      <w:r>
        <w:rPr>
          <w:i/>
          <w:color w:val="404040"/>
          <w:sz w:val="18"/>
        </w:rPr>
        <w:t>Ancla de memoria: Respuesta correcta: 8-14 cm Las trompas de falopio se extienden lateralmente de 8-14 cm desde los cuernos uterinos. Caso Paciente femenina de 28 años, G1, P0, con 24 semanas de gestación, acude a consulta prenatal de rutina. En la exploración física, se palpan dos fetos y se confirma embarazo gemela</w:t>
      </w:r>
    </w:p>
    <w:p/>
    <w:p>
      <w:pPr>
        <w:pStyle w:val="ListNumber"/>
      </w:pPr>
      <w:r>
        <w:rPr>
          <w:sz w:val="21"/>
        </w:rPr>
        <w:t>¿Cuál es la dosis de famotidina como protector de la mucosa gástrica?</w:t>
      </w:r>
    </w:p>
    <w:p>
      <w:pPr>
        <w:ind w:left="454"/>
      </w:pPr>
      <w:r>
        <w:rPr>
          <w:b/>
          <w:color w:val="C00000"/>
          <w:sz w:val="21"/>
        </w:rPr>
        <w:t xml:space="preserve">RESPUESTA EXACTA: </w:t>
      </w:r>
      <w:r>
        <w:rPr>
          <w:b/>
          <w:sz w:val="21"/>
        </w:rPr>
        <w:t>40 mg/día</w:t>
      </w:r>
    </w:p>
    <w:p>
      <w:pPr>
        <w:ind w:left="454"/>
      </w:pPr>
      <w:r>
        <w:rPr>
          <w:i/>
          <w:color w:val="404040"/>
          <w:sz w:val="18"/>
        </w:rPr>
        <w:t>Ancla de memoria: Se recomienda el uso profiláctico de protectores de la mucosa gástrica en pacientes con osteoartrosis de rodilla que presenten úlcera gástrica en las siguientes dosis: omeprazol 20 mg/día, misoprostol 400-800 mcg/día, famotidina 40 mg/día y ranitidina 300 mg/día. No se recomienda indicar tratamiento</w:t>
      </w:r>
    </w:p>
    <w:p/>
    <w:p>
      <w:pPr>
        <w:pStyle w:val="ListNumber"/>
      </w:pPr>
      <w:r>
        <w:rPr>
          <w:sz w:val="21"/>
        </w:rPr>
        <w:t>¿A las cuántas semanas de vida se considera persistencia del conducto arterioso?</w:t>
      </w:r>
    </w:p>
    <w:p>
      <w:pPr>
        <w:ind w:left="454"/>
      </w:pPr>
      <w:r>
        <w:rPr>
          <w:b/>
          <w:color w:val="C00000"/>
          <w:sz w:val="21"/>
        </w:rPr>
        <w:t xml:space="preserve">RESPUESTA EXACTA: </w:t>
      </w:r>
      <w:r>
        <w:rPr>
          <w:b/>
          <w:sz w:val="21"/>
        </w:rPr>
        <w:t>6</w:t>
      </w:r>
    </w:p>
    <w:p>
      <w:pPr>
        <w:ind w:left="454"/>
      </w:pPr>
      <w:r>
        <w:rPr>
          <w:i/>
          <w:color w:val="404040"/>
          <w:sz w:val="18"/>
        </w:rPr>
        <w:t>Ancla de memoria: El conducto arterioso es una estructura vascular, que conecta la arteria pulmonar con la aorta descendente. El orificio del conducto arterioso se localiza inmediatamente a la izquierda de la bifurcación del tronco de la arteria pulmonar y a nivel aórtico en la unión del arco aórtico con la aorta des</w:t>
      </w:r>
    </w:p>
    <w:p/>
    <w:p>
      <w:pPr>
        <w:pStyle w:val="Heading1"/>
      </w:pPr>
      <w:r>
        <w:t>Cardiología</w:t>
      </w:r>
    </w:p>
    <w:p>
      <w:pPr>
        <w:pStyle w:val="ListNumber"/>
      </w:pPr>
      <w:r>
        <w:rPr>
          <w:sz w:val="21"/>
        </w:rPr>
        <w:t>Un paciente de 57 años, fumador de 20 cigarrillos diarios, con historia de tos y expectoración matutina habitual, consulta por disnea de mínimos esfuerzos y ortopnea de dos almohadas. Exploración física: TA 180/100 mmHg, presión venosa normal, auscultación pulmonar con crepitantes bibasales, auscultación cardíaca rítmica a 120 lpm con soplo sistólico eyectivo I/VI en foco aórtico y tercer ruido. ECG: ritmo sinusal y…</w:t>
      </w:r>
    </w:p>
    <w:p>
      <w:pPr>
        <w:ind w:left="454"/>
      </w:pPr>
      <w:r>
        <w:rPr>
          <w:b/>
          <w:color w:val="C00000"/>
          <w:sz w:val="21"/>
        </w:rPr>
        <w:t xml:space="preserve">RESPUESTA EXACTA: </w:t>
      </w:r>
      <w:r>
        <w:rPr>
          <w:b/>
          <w:sz w:val="21"/>
        </w:rPr>
        <w:t>Cardiopatía hipertensiva en insuficiencia cardíaca.</w:t>
      </w:r>
    </w:p>
    <w:p/>
    <w:p>
      <w:pPr>
        <w:pStyle w:val="ListNumber"/>
      </w:pPr>
      <w:r>
        <w:rPr>
          <w:sz w:val="21"/>
        </w:rPr>
        <w:t>Un hombre de 60 años que presenta unas eritematosas en el tronco, es diagnosticado de micosis fungoide. Con dicho diagnóstico entenderemos que el paciente se halla afecto de:</w:t>
      </w:r>
    </w:p>
    <w:p>
      <w:pPr>
        <w:ind w:left="454"/>
      </w:pPr>
      <w:r>
        <w:rPr>
          <w:b/>
          <w:color w:val="C00000"/>
          <w:sz w:val="21"/>
        </w:rPr>
        <w:t xml:space="preserve">RESPUESTA EXACTA: </w:t>
      </w:r>
      <w:r>
        <w:rPr>
          <w:b/>
          <w:sz w:val="21"/>
        </w:rPr>
        <w:t>Un linfoma no-Hodgkin de fenotipo T.</w:t>
      </w:r>
    </w:p>
    <w:p/>
    <w:p>
      <w:pPr>
        <w:pStyle w:val="ListNumber"/>
      </w:pPr>
      <w:r>
        <w:rPr>
          <w:sz w:val="21"/>
        </w:rPr>
        <w:t>Un niño de 6 años, asintomático cardiológicamente, presenta un soplo sistólico eyectivo en borde esternal izquierdo con un desdoblamiento fijo del segundo tono y, en el ECG, un patrón rSR' en precordiales derechas. El diagnóstico más probable, entre los siguientes, es:</w:t>
      </w:r>
    </w:p>
    <w:p>
      <w:pPr>
        <w:ind w:left="454"/>
      </w:pPr>
      <w:r>
        <w:rPr>
          <w:b/>
          <w:color w:val="C00000"/>
          <w:sz w:val="21"/>
        </w:rPr>
        <w:t xml:space="preserve">RESPUESTA EXACTA: </w:t>
      </w:r>
      <w:r>
        <w:rPr>
          <w:b/>
          <w:sz w:val="21"/>
        </w:rPr>
        <w:t>Comunicación interauricular tipo ostium secundum.</w:t>
      </w:r>
    </w:p>
    <w:p/>
    <w:p>
      <w:pPr>
        <w:pStyle w:val="ListNumber"/>
      </w:pPr>
      <w:r>
        <w:rPr>
          <w:sz w:val="21"/>
        </w:rPr>
        <w:t>Niño de 3 años que comienza con síntomas catarrales y, unas horas después, presenta un episodio de pérdida de conocimiento, movimientos tonicoclónicos de extremidades y revulsión ocular, de una duración aproximada de 2 minutos. A la exploración presenta T 39ºC, exploración neurológica normal, excepto tendencia al sueño, faringe muy congestiva con amígdalas hipertróficas y tímpanos hiperémicos. ¿Qué actitud, entre…</w:t>
      </w:r>
    </w:p>
    <w:p>
      <w:pPr>
        <w:ind w:left="454"/>
      </w:pPr>
      <w:r>
        <w:rPr>
          <w:b/>
          <w:color w:val="C00000"/>
          <w:sz w:val="21"/>
        </w:rPr>
        <w:t xml:space="preserve">RESPUESTA EXACTA: </w:t>
      </w:r>
      <w:r>
        <w:rPr>
          <w:b/>
          <w:sz w:val="21"/>
        </w:rPr>
        <w:t>Iniciar tratamiento con antitérmicos y vigilancia posterior.</w:t>
      </w:r>
    </w:p>
    <w:p/>
    <w:p>
      <w:pPr>
        <w:pStyle w:val="ListNumber"/>
      </w:pPr>
      <w:r>
        <w:rPr>
          <w:sz w:val="21"/>
        </w:rPr>
        <w:t>Mujer 54 años, shock transfusión, Pseudomonas fluorescens. FALSA:</w:t>
      </w:r>
    </w:p>
    <w:p>
      <w:pPr>
        <w:ind w:left="454"/>
      </w:pPr>
      <w:r>
        <w:rPr>
          <w:b/>
          <w:color w:val="C00000"/>
          <w:sz w:val="21"/>
        </w:rPr>
        <w:t xml:space="preserve">RESPUESTA EXACTA: </w:t>
      </w:r>
      <w:r>
        <w:rPr>
          <w:b/>
          <w:sz w:val="21"/>
        </w:rPr>
        <w:t>Pseudomonas no crece temperaturas bajas</w:t>
      </w:r>
    </w:p>
    <w:p/>
    <w:p>
      <w:pPr>
        <w:pStyle w:val="ListNumber"/>
      </w:pPr>
      <w:r>
        <w:rPr>
          <w:sz w:val="21"/>
        </w:rPr>
        <w:t>Microorganismo más frecuente endocarditis adulto:</w:t>
      </w:r>
    </w:p>
    <w:p>
      <w:pPr>
        <w:ind w:left="454"/>
      </w:pPr>
      <w:r>
        <w:rPr>
          <w:b/>
          <w:color w:val="C00000"/>
          <w:sz w:val="21"/>
        </w:rPr>
        <w:t xml:space="preserve">RESPUESTA EXACTA: </w:t>
      </w:r>
      <w:r>
        <w:rPr>
          <w:b/>
          <w:sz w:val="21"/>
        </w:rPr>
        <w:t>Streptococcus viridans</w:t>
      </w:r>
    </w:p>
    <w:p/>
    <w:p>
      <w:pPr>
        <w:pStyle w:val="Heading1"/>
      </w:pPr>
      <w:r>
        <w:t>Salud Pública y Epidemiología</w:t>
      </w:r>
    </w:p>
    <w:p>
      <w:pPr>
        <w:pStyle w:val="ListNumber"/>
      </w:pPr>
      <w:r>
        <w:rPr>
          <w:sz w:val="21"/>
        </w:rPr>
        <w:t>¿Cuáles son los criterios diagnósticos electrocardiográficos de preexcitación tipo WPW?</w:t>
      </w:r>
    </w:p>
    <w:p>
      <w:pPr>
        <w:ind w:left="454"/>
      </w:pPr>
      <w:r>
        <w:rPr>
          <w:b/>
          <w:color w:val="C00000"/>
          <w:sz w:val="21"/>
        </w:rPr>
        <w:t xml:space="preserve">RESPUESTA EXACTA: </w:t>
      </w:r>
      <w:r>
        <w:rPr>
          <w:b/>
          <w:sz w:val="21"/>
        </w:rPr>
        <w:t>PR corto más onda δ.</w:t>
      </w:r>
    </w:p>
    <w:p/>
    <w:p>
      <w:pPr>
        <w:pStyle w:val="ListNumber"/>
      </w:pPr>
      <w:r>
        <w:rPr>
          <w:sz w:val="21"/>
        </w:rPr>
        <w:t>Ante la sospecha de una torsión de testículo, ¿cuál es, entre las siguientes, la prueba diagnóstica de elección?</w:t>
      </w:r>
    </w:p>
    <w:p>
      <w:pPr>
        <w:ind w:left="454"/>
      </w:pPr>
      <w:r>
        <w:rPr>
          <w:b/>
          <w:color w:val="C00000"/>
          <w:sz w:val="21"/>
        </w:rPr>
        <w:t xml:space="preserve">RESPUESTA EXACTA: </w:t>
      </w:r>
      <w:r>
        <w:rPr>
          <w:b/>
          <w:sz w:val="21"/>
        </w:rPr>
        <w:t>Ecografía-doppler.</w:t>
      </w:r>
    </w:p>
    <w:p/>
    <w:p>
      <w:pPr>
        <w:pStyle w:val="ListNumber"/>
      </w:pPr>
      <w:r>
        <w:rPr>
          <w:sz w:val="21"/>
        </w:rPr>
        <w:t>¿Cuál es el numerador de la tasa de mortalidad neonatal precoz?</w:t>
      </w:r>
    </w:p>
    <w:p>
      <w:pPr>
        <w:ind w:left="454"/>
      </w:pPr>
      <w:r>
        <w:rPr>
          <w:b/>
          <w:color w:val="C00000"/>
          <w:sz w:val="21"/>
        </w:rPr>
        <w:t xml:space="preserve">RESPUESTA EXACTA: </w:t>
      </w:r>
      <w:r>
        <w:rPr>
          <w:b/>
          <w:sz w:val="21"/>
        </w:rPr>
        <w:t>Número de fallecidos hasta el día 7 de vida.</w:t>
      </w:r>
    </w:p>
    <w:p/>
    <w:p>
      <w:pPr>
        <w:pStyle w:val="ListNumber"/>
      </w:pPr>
      <w:r>
        <w:rPr>
          <w:sz w:val="21"/>
        </w:rPr>
        <w:t>Patógeno más frecuente diarrea del viajero:</w:t>
      </w:r>
    </w:p>
    <w:p>
      <w:pPr>
        <w:ind w:left="454"/>
      </w:pPr>
      <w:r>
        <w:rPr>
          <w:b/>
          <w:color w:val="C00000"/>
          <w:sz w:val="21"/>
        </w:rPr>
        <w:t xml:space="preserve">RESPUESTA EXACTA: </w:t>
      </w:r>
      <w:r>
        <w:rPr>
          <w:b/>
          <w:sz w:val="21"/>
        </w:rPr>
        <w:t>E. coli</w:t>
      </w:r>
    </w:p>
    <w:p/>
    <w:p>
      <w:pPr>
        <w:pStyle w:val="ListNumber"/>
      </w:pPr>
      <w:r>
        <w:rPr>
          <w:sz w:val="21"/>
        </w:rPr>
        <w:t>¿Cuál es la definición de prevalencia en epidemiología?</w:t>
      </w:r>
    </w:p>
    <w:p>
      <w:pPr>
        <w:ind w:left="454"/>
      </w:pPr>
      <w:r>
        <w:rPr>
          <w:b/>
          <w:color w:val="C00000"/>
          <w:sz w:val="21"/>
        </w:rPr>
        <w:t xml:space="preserve">RESPUESTA EXACTA: </w:t>
      </w:r>
      <w:r>
        <w:rPr>
          <w:b/>
          <w:sz w:val="21"/>
        </w:rPr>
        <w:t>La proporción de individuos que presentan la enfermedad en un momento o periodo determinado, incluyendo casos antiguos y nuevos</w:t>
      </w:r>
    </w:p>
    <w:p>
      <w:pPr>
        <w:ind w:left="454"/>
      </w:pPr>
      <w:r>
        <w:rPr>
          <w:i/>
          <w:color w:val="404040"/>
          <w:sz w:val="18"/>
        </w:rPr>
        <w:t>Ancla de memoria: La prevalencia se define como la proporción de personas que presentan la enfermedad en un momento específico o en un periodo dado, sin importar si son casos recientes o antiguos. Por lo tanto, incluye a todos los casos existentes. La incidencia, en contraste, solo considera los casos nuevos y reflej</w:t>
      </w:r>
    </w:p>
    <w:p/>
    <w:p>
      <w:pPr>
        <w:pStyle w:val="Heading1"/>
      </w:pPr>
      <w:r>
        <w:t>Gastroenterología</w:t>
      </w:r>
    </w:p>
    <w:p>
      <w:pPr>
        <w:pStyle w:val="ListNumber"/>
      </w:pPr>
      <w:r>
        <w:rPr>
          <w:sz w:val="21"/>
        </w:rPr>
        <w:t>Enferma de 62 años con diabetes mellitus tipo II, que ingresa por dolor en hemiabdomen superior e hiperamilasemia, y es diagnosticada de pancreatitis aguda. El estudio realizado no demuestra etiología de la misma. A las 3 semanas de evolución de la enfermedad, encontrándose asintomática, la ecografía abdominal evidencia una colección líquida, bien delimitada, de unos 35 x 30 mm de diámetro, con características…</w:t>
      </w:r>
    </w:p>
    <w:p>
      <w:pPr>
        <w:ind w:left="454"/>
      </w:pPr>
      <w:r>
        <w:rPr>
          <w:b/>
          <w:color w:val="C00000"/>
          <w:sz w:val="21"/>
        </w:rPr>
        <w:t xml:space="preserve">RESPUESTA EXACTA: </w:t>
      </w:r>
      <w:r>
        <w:rPr>
          <w:b/>
          <w:sz w:val="21"/>
        </w:rPr>
        <w:t>Actitud expectante y seguir la evolución clínica en espera de la resolución espontánea.</w:t>
      </w:r>
    </w:p>
    <w:p/>
    <w:p>
      <w:pPr>
        <w:pStyle w:val="ListNumber"/>
      </w:pPr>
      <w:r>
        <w:rPr>
          <w:sz w:val="21"/>
        </w:rPr>
        <w:t>Un alumno de 4º curso de Medicina adquiere su primer esfigmomanómetro y toma la tensión a toda su familia, observando que su hermano de 15 años tiene una TA de 180/80 mmHg en tres ocasiones distintas. Se trata con mayor probabilidad de una:</w:t>
      </w:r>
    </w:p>
    <w:p>
      <w:pPr>
        <w:ind w:left="454"/>
      </w:pPr>
      <w:r>
        <w:rPr>
          <w:b/>
          <w:color w:val="C00000"/>
          <w:sz w:val="21"/>
        </w:rPr>
        <w:t xml:space="preserve">RESPUESTA EXACTA: </w:t>
      </w:r>
      <w:r>
        <w:rPr>
          <w:b/>
          <w:sz w:val="21"/>
        </w:rPr>
        <w:t>Coartación aórtica.</w:t>
      </w:r>
    </w:p>
    <w:p/>
    <w:p>
      <w:pPr>
        <w:pStyle w:val="ListNumber"/>
      </w:pPr>
      <w:r>
        <w:rPr>
          <w:sz w:val="21"/>
        </w:rPr>
        <w:t>Localización más común necrobiosis lipoídica:</w:t>
      </w:r>
    </w:p>
    <w:p>
      <w:pPr>
        <w:ind w:left="454"/>
      </w:pPr>
      <w:r>
        <w:rPr>
          <w:b/>
          <w:color w:val="C00000"/>
          <w:sz w:val="21"/>
        </w:rPr>
        <w:t xml:space="preserve">RESPUESTA EXACTA: </w:t>
      </w:r>
      <w:r>
        <w:rPr>
          <w:b/>
          <w:sz w:val="21"/>
        </w:rPr>
        <w:t>Superficie anterior pierna</w:t>
      </w:r>
    </w:p>
    <w:p/>
    <w:p>
      <w:pPr>
        <w:pStyle w:val="ListNumber"/>
      </w:pPr>
      <w:r>
        <w:rPr>
          <w:sz w:val="21"/>
        </w:rPr>
        <w:t>Niño 5 años, estenosis aórtica leve asintomática. Correcta:</w:t>
      </w:r>
    </w:p>
    <w:p>
      <w:pPr>
        <w:ind w:left="454"/>
      </w:pPr>
      <w:r>
        <w:rPr>
          <w:b/>
          <w:color w:val="C00000"/>
          <w:sz w:val="21"/>
        </w:rPr>
        <w:t xml:space="preserve">RESPUESTA EXACTA: </w:t>
      </w:r>
      <w:r>
        <w:rPr>
          <w:b/>
          <w:sz w:val="21"/>
        </w:rPr>
        <w:t>Profilaxis endocarditis</w:t>
      </w:r>
    </w:p>
    <w:p/>
    <w:p>
      <w:pPr>
        <w:pStyle w:val="Heading1"/>
      </w:pPr>
      <w:r>
        <w:t>Ginecología y Obstetricia</w:t>
      </w:r>
    </w:p>
    <w:p>
      <w:pPr>
        <w:pStyle w:val="ListNumber"/>
      </w:pPr>
      <w:r>
        <w:rPr>
          <w:sz w:val="21"/>
        </w:rPr>
        <w:t>Paciente de 38 años con nódulo mamario indoloro, de bordes imprecisos. La mamografía revela imagen nodular, con espículas en todos sus márgenes, y 10 microcalcificaciones finas, agrupadas en su interior. El diagnóstico más probable, entre los que se citan, es:</w:t>
      </w:r>
    </w:p>
    <w:p>
      <w:pPr>
        <w:ind w:left="454"/>
      </w:pPr>
      <w:r>
        <w:rPr>
          <w:b/>
          <w:color w:val="C00000"/>
          <w:sz w:val="21"/>
        </w:rPr>
        <w:t xml:space="preserve">RESPUESTA EXACTA: </w:t>
      </w:r>
      <w:r>
        <w:rPr>
          <w:b/>
          <w:sz w:val="21"/>
        </w:rPr>
        <w:t>Carcinoma.</w:t>
      </w:r>
    </w:p>
    <w:p/>
    <w:p>
      <w:pPr>
        <w:pStyle w:val="ListNumber"/>
      </w:pPr>
      <w:r>
        <w:rPr>
          <w:sz w:val="21"/>
        </w:rPr>
        <w:t>¿Cómo se define la hipertensión en el embarazo?</w:t>
      </w:r>
    </w:p>
    <w:p>
      <w:pPr>
        <w:ind w:left="454"/>
      </w:pPr>
      <w:r>
        <w:rPr>
          <w:b/>
          <w:color w:val="C00000"/>
          <w:sz w:val="21"/>
        </w:rPr>
        <w:t xml:space="preserve">RESPUESTA EXACTA: </w:t>
      </w:r>
      <w:r>
        <w:rPr>
          <w:b/>
          <w:sz w:val="21"/>
        </w:rPr>
        <w:t>TA &gt;140/90 mmHg</w:t>
      </w:r>
    </w:p>
    <w:p>
      <w:pPr>
        <w:ind w:left="454"/>
      </w:pPr>
      <w:r>
        <w:rPr>
          <w:i/>
          <w:color w:val="404040"/>
          <w:sz w:val="18"/>
        </w:rPr>
        <w:t>Ancla de memoria: La tensión arterial elevada en estados hipertensivos gestacionales, se define como la tensión arterial mayor de 140/90 en dos tomas con un intervalo de al menos cuatro horas, o el aumento de más de 30 mmHg en la sistólica o de 15 mmHg en la diastólica sobre los valores normales. La única excepción e</w:t>
      </w:r>
    </w:p>
    <w:p/>
    <w:p>
      <w:pPr>
        <w:pStyle w:val="ListNumber"/>
      </w:pPr>
      <w:r>
        <w:rPr>
          <w:sz w:val="21"/>
        </w:rPr>
        <w:t>¿Cuál es el tratamiento de elección si se confirma anemia fetal severa antes de las 32 semanas?</w:t>
      </w:r>
    </w:p>
    <w:p>
      <w:pPr>
        <w:ind w:left="454"/>
      </w:pPr>
      <w:r>
        <w:rPr>
          <w:b/>
          <w:color w:val="C00000"/>
          <w:sz w:val="21"/>
        </w:rPr>
        <w:t xml:space="preserve">RESPUESTA EXACTA: </w:t>
      </w:r>
      <w:r>
        <w:rPr>
          <w:b/>
          <w:sz w:val="21"/>
        </w:rPr>
        <w:t>Transfusión intrauterina por cordocentesis</w:t>
      </w:r>
    </w:p>
    <w:p>
      <w:pPr>
        <w:ind w:left="454"/>
      </w:pPr>
      <w:r>
        <w:rPr>
          <w:i/>
          <w:color w:val="404040"/>
          <w:sz w:val="18"/>
        </w:rPr>
        <w:t>Ancla de memoria: La transfusión intrauterina es el tratamiento de elección en casos de anemia fetal severa secundaria a aloinmunización. Se realiza por acceso al cordón umbilical y permite corregir la anemia antes de que se desarrollen complicaciones como hidropesía fetal o muerte intrauterina. La maduración pulmona</w:t>
      </w:r>
    </w:p>
    <w:p/>
    <w:p>
      <w:pPr>
        <w:pStyle w:val="ListNumber"/>
      </w:pPr>
      <w:r>
        <w:rPr>
          <w:sz w:val="21"/>
        </w:rPr>
        <w:t>¿Cada cuanto debe ser auscultada la FC fetal durante el trabajo de parto en la mujer sana?</w:t>
      </w:r>
    </w:p>
    <w:p>
      <w:pPr>
        <w:ind w:left="454"/>
      </w:pPr>
      <w:r>
        <w:rPr>
          <w:b/>
          <w:color w:val="C00000"/>
          <w:sz w:val="21"/>
        </w:rPr>
        <w:t xml:space="preserve">RESPUESTA EXACTA: </w:t>
      </w:r>
      <w:r>
        <w:rPr>
          <w:b/>
          <w:sz w:val="21"/>
        </w:rPr>
        <w:t>Cada 15 a 30 minutos</w:t>
      </w:r>
    </w:p>
    <w:p>
      <w:pPr>
        <w:ind w:left="454"/>
      </w:pPr>
      <w:r>
        <w:rPr>
          <w:i/>
          <w:color w:val="404040"/>
          <w:sz w:val="18"/>
        </w:rPr>
        <w:t>Ancla de memoria: Se recomienda auscultar intermitentemente la frecuencia cardiaca fetal durante el trabajo de parto de mujeres sanas (cada 15 a 30 minutos), ya sea con Pinard o con monitor fetal Doppler, durante un minuto inmediatamente después de la contracción. Caso En la paciente embarazada con diabetes</w:t>
      </w:r>
    </w:p>
    <w:p/>
    <w:p>
      <w:pPr>
        <w:pStyle w:val="Heading1"/>
      </w:pPr>
      <w:r>
        <w:t>Infectología</w:t>
      </w:r>
    </w:p>
    <w:p>
      <w:pPr>
        <w:pStyle w:val="ListNumber"/>
      </w:pPr>
      <w:r>
        <w:rPr>
          <w:sz w:val="21"/>
        </w:rPr>
        <w:t>Un paciente de 31 años, usuario de drogas por vía parenteral hasta hace 10, es traído a Urgencias por su familia con un cuadro de tres días de evolución de fiebre, agitación y, en las últimas horas, disminución del nivel de conciencia. Los familiares refieren que es portador de anticuerpos antiVIH, pero que nunca ha querido tratarse. Entre otras exploraciones se realiza una TAC craneal que muestra una imagen que…</w:t>
      </w:r>
    </w:p>
    <w:p>
      <w:pPr>
        <w:ind w:left="454"/>
      </w:pPr>
      <w:r>
        <w:rPr>
          <w:b/>
          <w:color w:val="C00000"/>
          <w:sz w:val="21"/>
        </w:rPr>
        <w:t xml:space="preserve">RESPUESTA EXACTA: </w:t>
      </w:r>
      <w:r>
        <w:rPr>
          <w:b/>
          <w:sz w:val="21"/>
        </w:rPr>
        <w:t>Es adecuado iniciar tratamiento lo antes posible con sulfadiacina pirimetamina.</w:t>
      </w:r>
    </w:p>
    <w:p/>
    <w:p>
      <w:pPr>
        <w:pStyle w:val="ListNumber"/>
      </w:pPr>
      <w:r>
        <w:rPr>
          <w:sz w:val="21"/>
        </w:rPr>
        <w:t>Utilizando el IMC, se define como obesidad:</w:t>
      </w:r>
    </w:p>
    <w:p>
      <w:pPr>
        <w:ind w:left="454"/>
      </w:pPr>
      <w:r>
        <w:rPr>
          <w:b/>
          <w:color w:val="C00000"/>
          <w:sz w:val="21"/>
        </w:rPr>
        <w:t xml:space="preserve">RESPUESTA EXACTA: </w:t>
      </w:r>
      <w:r>
        <w:rPr>
          <w:b/>
          <w:sz w:val="21"/>
        </w:rPr>
        <w:t>IMC para su edad arriba de percentil 95</w:t>
      </w:r>
    </w:p>
    <w:p>
      <w:pPr>
        <w:ind w:left="454"/>
      </w:pPr>
      <w:r>
        <w:rPr>
          <w:i/>
          <w:color w:val="404040"/>
          <w:sz w:val="18"/>
        </w:rPr>
        <w:t xml:space="preserve">Ancla de memoria: Sobrepeso cuando el valor del IMC es igual o mayor a la percentila a 85 a 95 Obesidad cuando el valor es mayor de la percentila 95 Obesidad grave cuando el valor es igual o por arriba de la percentila 97 Caso Femenina de 54 años de edad, acude a consulta por presentar una dermatosis de varios meses </w:t>
      </w:r>
    </w:p>
    <w:p/>
    <w:p>
      <w:pPr>
        <w:pStyle w:val="ListNumber"/>
      </w:pPr>
      <w:r>
        <w:rPr>
          <w:sz w:val="21"/>
        </w:rPr>
        <w:t>Tipo de absceso anal más frecuente:</w:t>
      </w:r>
    </w:p>
    <w:p>
      <w:pPr>
        <w:ind w:left="454"/>
      </w:pPr>
      <w:r>
        <w:rPr>
          <w:b/>
          <w:color w:val="C00000"/>
          <w:sz w:val="21"/>
        </w:rPr>
        <w:t xml:space="preserve">RESPUESTA EXACTA: </w:t>
      </w:r>
      <w:r>
        <w:rPr>
          <w:b/>
          <w:sz w:val="21"/>
        </w:rPr>
        <w:t>Perianal</w:t>
      </w:r>
    </w:p>
    <w:p>
      <w:pPr>
        <w:ind w:left="454"/>
      </w:pPr>
      <w:r>
        <w:rPr>
          <w:i/>
          <w:color w:val="404040"/>
          <w:sz w:val="18"/>
        </w:rPr>
        <w:t xml:space="preserve">Ancla de memoria: El absceso anal es una de las lesiones ano rectales más frecuentes, resulta en trayectos fistulosos. La mayoría de los abscesos son manejados con drenaje directo. El tipo de absceso anal más frecuente es el perianal (superficial 60%), isquiorrectal (30%), intraesfintérico (5%), supraelevador (4%) y </w:t>
      </w:r>
    </w:p>
    <w:p/>
    <w:p>
      <w:pPr>
        <w:pStyle w:val="Heading1"/>
      </w:pPr>
      <w:r>
        <w:t>Cirugía</w:t>
      </w:r>
    </w:p>
    <w:p>
      <w:pPr>
        <w:pStyle w:val="ListNumber"/>
      </w:pPr>
      <w:r>
        <w:rPr>
          <w:sz w:val="21"/>
        </w:rPr>
        <w:t>La operación quirúrgica que establece una comunicación entre la luz gástrica y la superficie cutánea abdominal recibe el nombre de:</w:t>
      </w:r>
    </w:p>
    <w:p>
      <w:pPr>
        <w:ind w:left="454"/>
      </w:pPr>
      <w:r>
        <w:rPr>
          <w:b/>
          <w:color w:val="C00000"/>
          <w:sz w:val="21"/>
        </w:rPr>
        <w:t xml:space="preserve">RESPUESTA EXACTA: </w:t>
      </w:r>
      <w:r>
        <w:rPr>
          <w:b/>
          <w:sz w:val="21"/>
        </w:rPr>
        <w:t>Gastrostomía.</w:t>
      </w:r>
    </w:p>
    <w:p/>
    <w:p>
      <w:pPr>
        <w:pStyle w:val="ListNumber"/>
      </w:pPr>
      <w:r>
        <w:rPr>
          <w:sz w:val="21"/>
        </w:rPr>
        <w:t>¿Cuál de las siguientes condiciones no es una contraindicación para la realización de laparoscopia?</w:t>
      </w:r>
    </w:p>
    <w:p>
      <w:pPr>
        <w:ind w:left="454"/>
      </w:pPr>
      <w:r>
        <w:rPr>
          <w:b/>
          <w:color w:val="C00000"/>
          <w:sz w:val="21"/>
        </w:rPr>
        <w:t xml:space="preserve">RESPUESTA EXACTA: </w:t>
      </w:r>
      <w:r>
        <w:rPr>
          <w:b/>
          <w:sz w:val="21"/>
        </w:rPr>
        <w:t>ASA II</w:t>
      </w:r>
    </w:p>
    <w:p>
      <w:pPr>
        <w:ind w:left="454"/>
      </w:pPr>
      <w:r>
        <w:rPr>
          <w:i/>
          <w:color w:val="404040"/>
          <w:sz w:val="18"/>
        </w:rPr>
        <w:t>Ancla de memoria: La laparoscopia pudiera estar contraindicada en las siguientes condiciones ya que aumenta la morbilidad y la mortalidad: presencia de choque, puntaje de Boey &gt; 3, paciente mayor de 70 años, síntomas persistentes por más de 24 horas, puntuación de ASA III-IV y poca experiencia en técnica laparoscópic</w:t>
      </w:r>
    </w:p>
    <w:p/>
    <w:p>
      <w:pPr>
        <w:pStyle w:val="Heading1"/>
      </w:pPr>
      <w:r>
        <w:t>Oftalmología</w:t>
      </w:r>
    </w:p>
    <w:p>
      <w:pPr>
        <w:pStyle w:val="ListNumber"/>
      </w:pPr>
      <w:r>
        <w:rPr>
          <w:sz w:val="21"/>
        </w:rPr>
        <w:t>Una mujer de 23 años consulta por presentar, desde hace varios meses, unas pápulas y vesículas agrupadas localizadas en codos, rodillas, nuca y glúteos. La realización de una inmunofluorescencia directa objetiva depósitos granulares IgA en las papilas dérmicas. ¿Cuál de los siguientes enunciados es cierto en esta paciente?</w:t>
      </w:r>
    </w:p>
    <w:p>
      <w:pPr>
        <w:ind w:left="454"/>
      </w:pPr>
      <w:r>
        <w:rPr>
          <w:b/>
          <w:color w:val="C00000"/>
          <w:sz w:val="21"/>
        </w:rPr>
        <w:t xml:space="preserve">RESPUESTA EXACTA: </w:t>
      </w:r>
      <w:r>
        <w:rPr>
          <w:b/>
          <w:sz w:val="21"/>
        </w:rPr>
        <w:t>Es aconsejable que realice una dieta sin gluten.</w:t>
      </w:r>
    </w:p>
    <w:p/>
    <w:p>
      <w:pPr>
        <w:pStyle w:val="ListNumber"/>
      </w:pPr>
      <w:r>
        <w:rPr>
          <w:sz w:val="21"/>
        </w:rPr>
        <w:t>Mujer 38 años, exoftalmos axial, hiperemia, queratitis punteada, retracción palpebral. Diagnóstico:</w:t>
      </w:r>
    </w:p>
    <w:p>
      <w:pPr>
        <w:ind w:left="454"/>
      </w:pPr>
      <w:r>
        <w:rPr>
          <w:b/>
          <w:color w:val="C00000"/>
          <w:sz w:val="21"/>
        </w:rPr>
        <w:t xml:space="preserve">RESPUESTA EXACTA: </w:t>
      </w:r>
      <w:r>
        <w:rPr>
          <w:b/>
          <w:sz w:val="21"/>
        </w:rPr>
        <w:t>Graves-Basedow</w:t>
      </w:r>
    </w:p>
    <w:p/>
    <w:p>
      <w:pPr>
        <w:pStyle w:val="Heading1"/>
      </w:pPr>
      <w:r>
        <w:t>Nefrología</w:t>
      </w:r>
    </w:p>
    <w:p>
      <w:pPr>
        <w:pStyle w:val="ListNumber"/>
      </w:pPr>
      <w:r>
        <w:rPr>
          <w:sz w:val="21"/>
        </w:rPr>
        <w:t>Paciente que presenta amenorrea de 7 semanas, asintomática, sin evidencia, mediante ecografía vaginal, de útero ocupado. Se determina la fracción beta de la gonadotropina coriónica humana, obteniéndose una cifra de 2500 mU/mL. Ante estos datos, en primer lugar habrá que pensar en:</w:t>
      </w:r>
    </w:p>
    <w:p>
      <w:pPr>
        <w:ind w:left="454"/>
      </w:pPr>
      <w:r>
        <w:rPr>
          <w:b/>
          <w:color w:val="C00000"/>
          <w:sz w:val="21"/>
        </w:rPr>
        <w:t xml:space="preserve">RESPUESTA EXACTA: </w:t>
      </w:r>
      <w:r>
        <w:rPr>
          <w:b/>
          <w:sz w:val="21"/>
        </w:rPr>
        <w:t>Gestación ectópica de evolución asintomática.</w:t>
      </w:r>
    </w:p>
    <w:p/>
    <w:p>
      <w:pPr>
        <w:pStyle w:val="ListNumber"/>
      </w:pPr>
      <w:r>
        <w:rPr>
          <w:sz w:val="21"/>
        </w:rPr>
        <w:t>¿Cómo se define enfermedad renal crónica?</w:t>
      </w:r>
    </w:p>
    <w:p>
      <w:pPr>
        <w:ind w:left="454"/>
      </w:pPr>
      <w:r>
        <w:rPr>
          <w:b/>
          <w:color w:val="C00000"/>
          <w:sz w:val="21"/>
        </w:rPr>
        <w:t xml:space="preserve">RESPUESTA EXACTA: </w:t>
      </w:r>
      <w:r>
        <w:rPr>
          <w:b/>
          <w:sz w:val="21"/>
        </w:rPr>
        <w:t>Daño renal durante más de tres meses, con anormalidades estructurales o funcionales</w:t>
      </w:r>
    </w:p>
    <w:p>
      <w:pPr>
        <w:ind w:left="454"/>
      </w:pPr>
      <w:r>
        <w:rPr>
          <w:i/>
          <w:color w:val="404040"/>
          <w:sz w:val="18"/>
        </w:rPr>
        <w:t>Ancla de memoria: La enfermedad renal crónica (ERC), se define como el daño renal durante más de tres meses, con anormalidades estructurales o funcionales determinadas por biopsia renal o estudios de imagen, de sangre u orina, con o sin disminución de la tasa de filtración glomerular (TFG).</w:t>
      </w:r>
    </w:p>
    <w:p/>
    <w:p>
      <w:pPr>
        <w:pStyle w:val="Heading1"/>
      </w:pPr>
      <w:r>
        <w:t>Endocrinología</w:t>
      </w:r>
    </w:p>
    <w:p>
      <w:pPr>
        <w:pStyle w:val="ListNumber"/>
      </w:pPr>
      <w:r>
        <w:rPr>
          <w:sz w:val="21"/>
        </w:rPr>
        <w:t>Mujer 38 años, amenorrea, prolactina 130, macrotumor 2.8cm sin alteraciones visuales. Tratamiento:</w:t>
      </w:r>
    </w:p>
    <w:p>
      <w:pPr>
        <w:ind w:left="454"/>
      </w:pPr>
      <w:r>
        <w:rPr>
          <w:b/>
          <w:color w:val="C00000"/>
          <w:sz w:val="21"/>
        </w:rPr>
        <w:t xml:space="preserve">RESPUESTA EXACTA: </w:t>
      </w:r>
      <w:r>
        <w:rPr>
          <w:b/>
          <w:sz w:val="21"/>
        </w:rPr>
        <w:t>Agonistas dopaminérgicos</w:t>
      </w:r>
    </w:p>
    <w:p/>
    <w:p>
      <w:pPr>
        <w:pStyle w:val="ListNumber"/>
      </w:pPr>
      <w:r>
        <w:rPr>
          <w:sz w:val="21"/>
        </w:rPr>
        <w:t>¿En qué cromosoma se encuentra el gen que codifica la prolactina?</w:t>
      </w:r>
    </w:p>
    <w:p>
      <w:pPr>
        <w:ind w:left="454"/>
      </w:pPr>
      <w:r>
        <w:rPr>
          <w:b/>
          <w:color w:val="C00000"/>
          <w:sz w:val="21"/>
        </w:rPr>
        <w:t xml:space="preserve">RESPUESTA EXACTA: </w:t>
      </w:r>
      <w:r>
        <w:rPr>
          <w:b/>
          <w:sz w:val="21"/>
        </w:rPr>
        <w:t>En el cromosoma 6</w:t>
      </w:r>
    </w:p>
    <w:p>
      <w:pPr>
        <w:ind w:left="454"/>
      </w:pPr>
      <w:r>
        <w:rPr>
          <w:i/>
          <w:color w:val="404040"/>
          <w:sz w:val="18"/>
        </w:rPr>
        <w:t>Ancla de memoria: El gen que codifica la prolactina se localiza en el cromosoma 6 y su expresión no se limita a la hipófisis, ya que también se encuentran receptores de prolactina en sitios extrahipofisiarios, incluyendo la glándula mamaria, corazón, pulmón, bazo, útero, hígado, ovario, próstata y cerebro, así como e</w:t>
      </w:r>
    </w:p>
    <w:p/>
    <w:p>
      <w:pPr>
        <w:pStyle w:val="Heading1"/>
      </w:pPr>
      <w:r>
        <w:t>Psiquiatría</w:t>
      </w:r>
    </w:p>
    <w:p>
      <w:pPr>
        <w:pStyle w:val="ListNumber"/>
      </w:pPr>
      <w:r>
        <w:rPr>
          <w:sz w:val="21"/>
        </w:rPr>
        <w:t>Mujer de 18 años con 6 episodios al mes de cefalea hemicraneal, de un día de duración, pulsátil, acompañada de vómitos, fotofobia y sonofobia y con examen físico normal. El tratamiento preventivo de elección, entre los siguientes, es:</w:t>
      </w:r>
    </w:p>
    <w:p>
      <w:pPr>
        <w:ind w:left="454"/>
      </w:pPr>
      <w:r>
        <w:rPr>
          <w:b/>
          <w:color w:val="C00000"/>
          <w:sz w:val="21"/>
        </w:rPr>
        <w:t xml:space="preserve">RESPUESTA EXACTA: </w:t>
      </w:r>
      <w:r>
        <w:rPr>
          <w:b/>
          <w:sz w:val="21"/>
        </w:rPr>
        <w:t>Propranolol.</w:t>
      </w:r>
    </w:p>
    <w:p/>
    <w:p>
      <w:pPr>
        <w:pStyle w:val="Heading1"/>
      </w:pPr>
      <w:r>
        <w:t>Inmunología</w:t>
      </w:r>
    </w:p>
    <w:p>
      <w:pPr>
        <w:pStyle w:val="ListNumber"/>
      </w:pPr>
      <w:r>
        <w:rPr>
          <w:sz w:val="21"/>
        </w:rPr>
        <w:t>Una paciente de 17 años, que estuvo de excursión por el campo hace algunas semanas, presenta fiebre, cefalea, mialgias, escalofríos y fotofobia con una lesión en la espalda de 15 cm de diámetro, papulosa, anular y con palidez central. La etiología más probable, entre las siguientes, es:</w:t>
      </w:r>
    </w:p>
    <w:p>
      <w:pPr>
        <w:ind w:left="454"/>
      </w:pPr>
      <w:r>
        <w:rPr>
          <w:b/>
          <w:color w:val="C00000"/>
          <w:sz w:val="21"/>
        </w:rPr>
        <w:t xml:space="preserve">RESPUESTA EXACTA: </w:t>
      </w:r>
      <w:r>
        <w:rPr>
          <w:b/>
          <w:sz w:val="21"/>
        </w:rPr>
        <w:t>Borrelia burgdorferi.</w:t>
      </w:r>
    </w:p>
    <w:p/>
    <w:p>
      <w:pPr>
        <w:pStyle w:val="Heading1"/>
      </w:pPr>
      <w:r>
        <w:t>Hematología</w:t>
      </w:r>
    </w:p>
    <w:p>
      <w:pPr>
        <w:pStyle w:val="ListNumber"/>
      </w:pPr>
      <w:r>
        <w:rPr>
          <w:sz w:val="21"/>
        </w:rPr>
        <w:t>Chica 18 años, anovulatorios, edemas, TA 140/95, proteinuria 4500mg/24h, IgA 258, C3 58, C4 &lt;5, ANA 1/1250. Esteroides disminuyen proteinuria pero persiste hipocomplementemia. Diagnóstico:</w:t>
      </w:r>
    </w:p>
    <w:p>
      <w:pPr>
        <w:ind w:left="454"/>
      </w:pPr>
      <w:r>
        <w:rPr>
          <w:b/>
          <w:color w:val="C00000"/>
          <w:sz w:val="21"/>
        </w:rPr>
        <w:t xml:space="preserve">RESPUESTA EXACTA: </w:t>
      </w:r>
      <w:r>
        <w:rPr>
          <w:b/>
          <w:sz w:val="21"/>
        </w:rPr>
        <w:t>Glomerulonefritis focal segmentaria asociada a lupus</w:t>
      </w:r>
    </w:p>
    <w:p/>
    <w:p>
      <w:pPr>
        <w:pStyle w:val="Heading1"/>
      </w:pPr>
      <w:r>
        <w:t>Oncología</w:t>
      </w:r>
    </w:p>
    <w:p>
      <w:pPr>
        <w:pStyle w:val="ListNumber"/>
      </w:pPr>
      <w:r>
        <w:rPr>
          <w:sz w:val="21"/>
        </w:rPr>
        <w:t>Tumor más frecuente tracto genital femenino:</w:t>
      </w:r>
    </w:p>
    <w:p>
      <w:pPr>
        <w:ind w:left="454"/>
      </w:pPr>
      <w:r>
        <w:rPr>
          <w:b/>
          <w:color w:val="C00000"/>
          <w:sz w:val="21"/>
        </w:rPr>
        <w:t xml:space="preserve">RESPUESTA EXACTA: </w:t>
      </w:r>
      <w:r>
        <w:rPr>
          <w:b/>
          <w:sz w:val="21"/>
        </w:rPr>
        <w:t>Leiomioma uterino</w:t>
      </w:r>
    </w:p>
    <w:p/>
    <w:p>
      <w:pPr>
        <w:pStyle w:val="Heading1"/>
      </w:pPr>
      <w:r>
        <w:t>Farmacología</w:t>
      </w:r>
    </w:p>
    <w:p>
      <w:pPr>
        <w:pStyle w:val="ListNumber"/>
      </w:pPr>
      <w:r>
        <w:rPr>
          <w:sz w:val="21"/>
        </w:rPr>
        <w:t>¿Qué fármaco es de elección en este caso según la guía de práctica clínica mexicana?</w:t>
      </w:r>
    </w:p>
    <w:p>
      <w:pPr>
        <w:ind w:left="454"/>
      </w:pPr>
      <w:r>
        <w:rPr>
          <w:b/>
          <w:color w:val="C00000"/>
          <w:sz w:val="21"/>
        </w:rPr>
        <w:t xml:space="preserve">RESPUESTA EXACTA: </w:t>
      </w:r>
      <w:r>
        <w:rPr>
          <w:b/>
          <w:sz w:val="21"/>
        </w:rPr>
        <w:t>Haloperidol</w:t>
      </w:r>
    </w:p>
    <w:p>
      <w:pPr>
        <w:ind w:left="454"/>
      </w:pPr>
      <w:r>
        <w:rPr>
          <w:i/>
          <w:color w:val="404040"/>
          <w:sz w:val="18"/>
        </w:rPr>
        <w:t>Ancla de memoria: Como base del tratamiento farmacológico se recomienda utilizar un antipsicótico típico como el haloperidol en el adulto mayor hospitalizado con delirium a dosis de 0.5-1 mg V.O. cada 8-12 horas, 0.5-1mg I.V. o I.M. Otras opciones de tratamiento que pueden utilizarse son: Olanzapina: 1-20mg/día; Quet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