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ENARM — Datos de respuesta exacta v6</w:t>
      </w:r>
    </w:p>
    <w:p>
      <w:r>
        <w:t>Selección del Dr. Demian Nacim Kuri González. Versión corregida y ampliada con 95 datos nuevos (ENARM Master, 21–22/09/2026); materia oficial según la plataforma (área por reactivo); formato unificado (pregunta → respuesta).</w:t>
      </w:r>
    </w:p>
    <w:p>
      <w:pPr>
        <w:pStyle w:val="Heading1"/>
      </w:pPr>
      <w:r>
        <w:t>Cómo leer este documento</w:t>
      </w:r>
    </w:p>
    <w:p>
      <w:r>
        <w:t>"En duda:" nota entre pregunta y respuesta: dato ambiguo, varía entre fuentes o es preciso. "Corregido:" nota bajo la respuesta: la anterior era incorrecta o desactualizada, explica por qué. "[orig. n.º X]" = número en la versión previa; "[ENARM Master &lt;examen&gt; n.X]" = origen exacto en el simulador.</w:t>
      </w:r>
    </w:p>
    <w:p>
      <w:pPr>
        <w:pStyle w:val="Heading1"/>
      </w:pPr>
      <w:r>
        <w:t>Contenido por materia</w:t>
      </w:r>
    </w:p>
    <w:p>
      <w:r>
        <w:t>Cardiología: 5 datos</w:t>
      </w:r>
    </w:p>
    <w:p>
      <w:r>
        <w:t>Cirugía: 4 datos</w:t>
      </w:r>
    </w:p>
    <w:p>
      <w:r>
        <w:t>Dermatología: 2 datos</w:t>
      </w:r>
    </w:p>
    <w:p>
      <w:r>
        <w:t>Endocrinología: 5 datos</w:t>
      </w:r>
    </w:p>
    <w:p>
      <w:r>
        <w:t>Farmacología: 2 datos</w:t>
      </w:r>
    </w:p>
    <w:p>
      <w:r>
        <w:t>Gastroenterología: 5 datos</w:t>
      </w:r>
    </w:p>
    <w:p>
      <w:r>
        <w:t>Geriatría: 2 datos</w:t>
      </w:r>
    </w:p>
    <w:p>
      <w:r>
        <w:t>Gineco-Obstetricia: 51 datos</w:t>
      </w:r>
    </w:p>
    <w:p>
      <w:r>
        <w:t>Infectología: 15 datos</w:t>
      </w:r>
    </w:p>
    <w:p>
      <w:r>
        <w:t>Medicina Interna y Urgencias: 5 datos</w:t>
      </w:r>
    </w:p>
    <w:p>
      <w:r>
        <w:t>Nefrología: 8 datos</w:t>
      </w:r>
    </w:p>
    <w:p>
      <w:r>
        <w:t>Neurología: 1 datos</w:t>
      </w:r>
    </w:p>
    <w:p>
      <w:r>
        <w:t>Neurología y Psiquiatría: 4 datos</w:t>
      </w:r>
    </w:p>
    <w:p>
      <w:r>
        <w:t>Oftalmología: 6 datos</w:t>
      </w:r>
    </w:p>
    <w:p>
      <w:r>
        <w:t>Oncología y Hematología: 9 datos</w:t>
      </w:r>
    </w:p>
    <w:p>
      <w:r>
        <w:t>Otorrinolaringología: 2 datos</w:t>
      </w:r>
    </w:p>
    <w:p>
      <w:r>
        <w:t>Pediatría y Neonatología: 12 datos</w:t>
      </w:r>
    </w:p>
    <w:p>
      <w:r>
        <w:t>Psiquiatría: 1 datos</w:t>
      </w:r>
    </w:p>
    <w:p>
      <w:r>
        <w:t>Salud Pública y Epidemiología: 6 datos</w:t>
      </w:r>
    </w:p>
    <w:p>
      <w:r>
        <w:t>Traumatología: 3 datos</w:t>
      </w:r>
    </w:p>
    <w:p>
      <w:r>
        <w:t>Urología: 7 datos</w:t>
      </w:r>
    </w:p>
    <w:p>
      <w:r>
        <w:t>Total: 155 datos</w:t>
      </w:r>
    </w:p>
    <w:p>
      <w:pPr>
        <w:pStyle w:val="Heading1"/>
      </w:pPr>
      <w:r>
        <w:t>Cardiología</w:t>
      </w:r>
    </w:p>
    <w:p>
      <w:r>
        <w:t>1. ¿Cuáles son los criterios electrocardiográficos de preexcitación tipo Wolff-Parkinson-White (WPW)? [orig. n.º 30]</w:t>
      </w:r>
    </w:p>
    <w:p>
      <w:r>
        <w:t>→ PR corto (&lt; 120 ms), onda delta y QRS ensanchado.</w:t>
      </w:r>
    </w:p>
    <w:p>
      <w:r>
        <w:t>2. ¿Qué cardiopatía congénita se sospecha ante hipertensión arterial en miembros superiores con pulsos femorales disminuidos o ausentes en un adolescente? [orig. n.º 49]</w:t>
      </w:r>
    </w:p>
    <w:p>
      <w:r>
        <w:t>En duda: El caso original (hermano de 15 años con TA de 180/80 mmHg) no incluía los datos que llevan a la respuesta. Sin ellos, la causa más frecuente de hipertensión secundaria en adolescentes es la enfermedad renal. La clave de la coartación es la diferencia de presión entre brazos y piernas y los pulsos femorales débiles.</w:t>
      </w:r>
    </w:p>
    <w:p>
      <w:r>
        <w:t>→ Coartación aórtica.</w:t>
      </w:r>
    </w:p>
    <w:p>
      <w:r>
        <w:t>3. ¿El tratamiento más adecuado es? [ENARM Master Dificultad 21/09 (40) n.5]</w:t>
      </w:r>
    </w:p>
    <w:p>
      <w:r>
        <w:t>→ Anticuerpos anti digital</w:t>
      </w:r>
    </w:p>
    <w:p>
      <w:r>
        <w:t>4. ¿Cuáles son los ritmos desfibrilables en un paciente con paro cardiaco? [ENARM Master Dificultad 21/09 (40) n.12]</w:t>
      </w:r>
    </w:p>
    <w:p>
      <w:r>
        <w:t>→ Fibrilación ventricular y taquicardia ventricular sin pulso</w:t>
      </w:r>
    </w:p>
    <w:p>
      <w:r>
        <w:t>5. Con un puntaje TIMI de 4 puntos, ¿cuál es la probabilidad de presentar eventos adversos como infarto al miocardio nuevo o necesidad de revascularización? [ENARM Master Arma 22/09 (150) n.135]</w:t>
      </w:r>
    </w:p>
    <w:p>
      <w:r>
        <w:t>→ 19.9%</w:t>
      </w:r>
    </w:p>
    <w:p>
      <w:pPr>
        <w:pStyle w:val="Heading1"/>
      </w:pPr>
      <w:r>
        <w:t>Cirugía</w:t>
      </w:r>
    </w:p>
    <w:p>
      <w:r>
        <w:t>6. ¿Cómo se llama el procedimiento que comunica la luz gástrica con la piel del abdomen? [orig. n.º 53]</w:t>
      </w:r>
    </w:p>
    <w:p>
      <w:r>
        <w:t>→ Gastrostomía.</w:t>
      </w:r>
    </w:p>
    <w:p>
      <w:r>
        <w:t>7. ¿Cuál es la causa más frecuente de isquemia mesentérica aguda? [orig. n.º 54]</w:t>
      </w:r>
    </w:p>
    <w:p>
      <w:r>
        <w:t>→ Embolia de la arteria mesentérica superior (de origen cardiaco).</w:t>
      </w:r>
    </w:p>
    <w:p>
      <w:r>
        <w:t>8. ¿Cuál es la complicación más frecuente del neumotórax espontáneo? [orig. n.º 55]</w:t>
      </w:r>
    </w:p>
    <w:p>
      <w:r>
        <w:t>→ La recurrencia.</w:t>
      </w:r>
    </w:p>
    <w:p>
      <w:r>
        <w:t>9. ¿Cuál es el tipo más frecuente de absceso anorrectal? [orig. n.º 57]</w:t>
      </w:r>
    </w:p>
    <w:p>
      <w:r>
        <w:t>→ Perianal.</w:t>
      </w:r>
    </w:p>
    <w:p>
      <w:pPr>
        <w:pStyle w:val="Heading1"/>
      </w:pPr>
      <w:r>
        <w:t>Dermatología</w:t>
      </w:r>
    </w:p>
    <w:p>
      <w:r>
        <w:t>10. ¿Cuál es la localización más común de la necrobiosis lipoídica? [orig. n.º 50]</w:t>
      </w:r>
    </w:p>
    <w:p>
      <w:r>
        <w:t>→ Región pretibial (cara anterior de las piernas); se asocia a diabetes mellitus.</w:t>
      </w:r>
    </w:p>
    <w:p>
      <w:r>
        <w:t>11. ¿Cuál de las siguientes es una prueba diagnóstica útil en su sospecha diagnóstica? [ENARM Master Arma 22/09 (150) n.69]</w:t>
      </w:r>
    </w:p>
    <w:p>
      <w:r>
        <w:t>→ Biopsia de piel</w:t>
      </w:r>
    </w:p>
    <w:p>
      <w:pPr>
        <w:pStyle w:val="Heading1"/>
      </w:pPr>
      <w:r>
        <w:t>Endocrinología</w:t>
      </w:r>
    </w:p>
    <w:p>
      <w:r>
        <w:t>12. ¿En qué cromosoma se encuentra el gen que codifica la prolactina? [orig. n.º 62]</w:t>
      </w:r>
    </w:p>
    <w:p>
      <w:r>
        <w:t>→ Cromosoma 6 (6p22).</w:t>
      </w:r>
    </w:p>
    <w:p>
      <w:r>
        <w:t>13. ¿Cuál de las siguientes lipoproteínas se considera la más directamente relacionada con el desarrollo de aterosclerosis por contener apolipoproteína B y tener capacidad de depositarse en la pared arterial? [ENARM Master Dificultad 21/09 (40) n.37]</w:t>
      </w:r>
    </w:p>
    <w:p>
      <w:r>
        <w:t>→ LDL</w:t>
      </w:r>
    </w:p>
    <w:p>
      <w:r>
        <w:t>14. ¿Cuál de las siguientes opciones podria ser reportada por el estudio previo? [ENARM Master Arma 22/09 (150) n.27]</w:t>
      </w:r>
    </w:p>
    <w:p>
      <w:r>
        <w:t>→ Nodulo hipercaptante</w:t>
      </w:r>
    </w:p>
    <w:p>
      <w:r>
        <w:t>15. Al recibir este tratamiento, ¿Cúal es una de las complicaciones o efectos adversos de mayor cuidado y que se debe de vigilar y prevenir durante el mismo? [ENARM Master Arma 22/09 (150) n.97]</w:t>
      </w:r>
    </w:p>
    <w:p>
      <w:r>
        <w:t>→ Agranulocitosis</w:t>
      </w:r>
    </w:p>
    <w:p>
      <w:r>
        <w:t>16. ¿Qué cantidad de excreción de yodo se considera excesiva en la mujer embarazada? [ENARM Master Arma 22/09 (150) n.115]</w:t>
      </w:r>
    </w:p>
    <w:p>
      <w:r>
        <w:t>→ &gt; 500 ug/L</w:t>
      </w:r>
    </w:p>
    <w:p>
      <w:pPr>
        <w:pStyle w:val="Heading1"/>
      </w:pPr>
      <w:r>
        <w:t>Farmacología</w:t>
      </w:r>
    </w:p>
    <w:p>
      <w:r>
        <w:t>17. ¿Cuál es la dosis de famotidina como protector de la mucosa gástrica? [orig. n.º 14]</w:t>
      </w:r>
    </w:p>
    <w:p>
      <w:r>
        <w:t>→ 40 mg/día (20 mg cada 12 horas o 40 mg por la noche).</w:t>
      </w:r>
    </w:p>
    <w:p>
      <w:r>
        <w:t>18. ¿Cuál es la contraindicación absoluta del etretinato y de su sucesor, la acitretina? [orig. n.º 68]</w:t>
      </w:r>
    </w:p>
    <w:p>
      <w:r>
        <w:t>→ Embarazo (teratógeno; se exige anticoncepción prolongada tras suspenderlo).</w:t>
      </w:r>
    </w:p>
    <w:p>
      <w:pPr>
        <w:pStyle w:val="Heading1"/>
      </w:pPr>
      <w:r>
        <w:t>Gastroenterología</w:t>
      </w:r>
    </w:p>
    <w:p>
      <w:r>
        <w:t>19. ¿Qué síndrome de poliposis tiene el mayor riesgo de cáncer colorrectal? [orig. n.º 51]</w:t>
      </w:r>
    </w:p>
    <w:p>
      <w:r>
        <w:t>→ Poliposis adenomatosa familiar (riesgo cercano a 100 % sin colectomía).</w:t>
      </w:r>
    </w:p>
    <w:p>
      <w:r>
        <w:t>20. ¿Cuál es el principal factor asociado a falta de cicatrización de la úlcera péptica? [orig. n.º 52]</w:t>
      </w:r>
    </w:p>
    <w:p>
      <w:r>
        <w:t>→ Tabaquismo.</w:t>
      </w:r>
    </w:p>
    <w:p>
      <w:r>
        <w:t>21. Según la definición de la GPC, cuánto es el tiempo de evolución para que se considera una diarrea como aguda? [ENARM Master Dificultad 21/09 (40) n.20]</w:t>
      </w:r>
    </w:p>
    <w:p>
      <w:r>
        <w:t>→ ‹14 días</w:t>
      </w:r>
    </w:p>
    <w:p>
      <w:r>
        <w:t>22. ¿Qué fracción del gluten es la responsable de la reacción de sensibilidad en la enfermedad celiaca? [ENARM Master Arma 22/09 (150) n.35]</w:t>
      </w:r>
    </w:p>
    <w:p>
      <w:r>
        <w:t>→ Gliadina</w:t>
      </w:r>
    </w:p>
    <w:p>
      <w:r>
        <w:t>23. ¿Cuál es el estudio diagnostico confirmatorio de enfermedad celiaca? [ENARM Master Arma 22/09 (150) n.37]</w:t>
      </w:r>
    </w:p>
    <w:p>
      <w:r>
        <w:t>→ Biopsia intestinal</w:t>
      </w:r>
    </w:p>
    <w:p>
      <w:pPr>
        <w:pStyle w:val="Heading1"/>
      </w:pPr>
      <w:r>
        <w:t>Geriatría</w:t>
      </w:r>
    </w:p>
    <w:p>
      <w:r>
        <w:t>24. ¿Cuál es la ingesta diaria recomendada de proteínas para adultos mayores? [ENARM Master Arma 22/09 (150) n.113]</w:t>
      </w:r>
    </w:p>
    <w:p>
      <w:r>
        <w:t>→ 1.0 – 1.2 g/kg de peso corporal.</w:t>
      </w:r>
    </w:p>
    <w:p>
      <w:r>
        <w:t>25. ¿Qué nivel de IMC se considera normal para un adulto mayor? [ENARM Master Arma 22/09 (150) n.114]</w:t>
      </w:r>
    </w:p>
    <w:p>
      <w:r>
        <w:t>→ 23.0 – 27.9.</w:t>
      </w:r>
    </w:p>
    <w:p>
      <w:pPr>
        <w:pStyle w:val="Heading1"/>
      </w:pPr>
      <w:r>
        <w:t>Gineco-Obstetricia</w:t>
      </w:r>
    </w:p>
    <w:p>
      <w:r>
        <w:t>26. ¿Cuál es un marcador ultrasonográfico del segundo trimestre asociado a trisomía 21? [orig. n.º 8]</w:t>
      </w:r>
    </w:p>
    <w:p>
      <w:r>
        <w:t>→ Fémur corto (&lt; percentil 5). El marcador aislado de mayor peso es el pliegue nucal engrosado.</w:t>
      </w:r>
    </w:p>
    <w:p>
      <w:r>
        <w:t>27. ¿Qué dosis de ácido fólico se indica en la mujer con diabetes pregestacional? [orig. n.º 12]</w:t>
      </w:r>
    </w:p>
    <w:p>
      <w:r>
        <w:t>→ 5 mg/día, idealmente desde antes de la concepción y hasta la semana 12.</w:t>
      </w:r>
    </w:p>
    <w:p>
      <w:r>
        <w:t>28. ¿Cuánto miden aproximadamente las trompas de Falopio? [orig. n.º 13]</w:t>
      </w:r>
    </w:p>
    <w:p>
      <w:r>
        <w:t>→ 8 a 14 cm.</w:t>
      </w:r>
    </w:p>
    <w:p>
      <w:r>
        <w:t>29. ¿Qué vacuna está contraindicada durante el embarazo? [orig. n.º 17]</w:t>
      </w:r>
    </w:p>
    <w:p>
      <w:r>
        <w:t>→ La vacuna contra la rubéola (y en general las de virus vivos atenuados, como la SRP).</w:t>
      </w:r>
    </w:p>
    <w:p>
      <w:r>
        <w:t>30. ¿Cuál es el fármaco de elección para las convulsiones de la eclampsia? [orig. n.º 18]</w:t>
      </w:r>
    </w:p>
    <w:p>
      <w:r>
        <w:t>→ Sulfato de magnesio.</w:t>
      </w:r>
    </w:p>
    <w:p>
      <w:r>
        <w:t>31. ¿En qué semanas de gestación es óptimo aplicar la vacuna Tdpa? [orig. n.º 24]</w:t>
      </w:r>
    </w:p>
    <w:p>
      <w:r>
        <w:t>En duda: Existen dos cifras que pueden aparecer en el examen: semanas 27 a 36 como ventana óptima (ACIP), y a partir de la semana 20 en la práctica mexicana. La Tdpa se aplica en cada embarazo, sin importar la vacunación previa.</w:t>
      </w:r>
    </w:p>
    <w:p>
      <w:r>
        <w:t>→ Semanas 27 a 36, en cada embarazo (en México se aplica a partir de la semana 20).</w:t>
      </w:r>
    </w:p>
    <w:p>
      <w:r>
        <w:t>32. ¿Cómo se define la hipertensión en el embarazo? [orig. n.º 39]</w:t>
      </w:r>
    </w:p>
    <w:p>
      <w:r>
        <w:t>En duda: La versión anterior decía "&gt; 140/90". El signo correcto es mayor o igual (≥): una cifra de 140/90 exacta sí cumple la definición.</w:t>
      </w:r>
    </w:p>
    <w:p>
      <w:r>
        <w:t>→ Presión sistólica ≥ 140 mmHg y/o diastólica ≥ 90 mmHg, en dos tomas separadas por al menos 4 horas.</w:t>
      </w:r>
    </w:p>
    <w:p>
      <w:r>
        <w:t>33. ¿Cuál es el tratamiento de elección si se confirma anemia fetal severa antes de las 32 semanas? [orig. n.º 40]</w:t>
      </w:r>
    </w:p>
    <w:p>
      <w:r>
        <w:t>→ Transfusión intrauterina por cordocentesis.</w:t>
      </w:r>
    </w:p>
    <w:p>
      <w:r>
        <w:t>34. ¿Con qué frecuencia se ausculta la frecuencia cardiaca fetal durante el trabajo de parto en embarazo de bajo riesgo? [orig. n.º 41]</w:t>
      </w:r>
    </w:p>
    <w:p>
      <w:r>
        <w:t>En duda: La versión anterior respondía "cada 15 a 30 minutos", lo que mezcla dos periodos distintos del trabajo de parto. En alto riesgo los intervalos son menores (cada 15 y cada 5 minutos, respectivamente).</w:t>
      </w:r>
    </w:p>
    <w:p>
      <w:r>
        <w:t>→ Cada 30 minutos en el primer periodo (fase activa) y cada 15 minutos en el segundo periodo.</w:t>
      </w:r>
    </w:p>
    <w:p>
      <w:r>
        <w:t>35. ¿Qué ocurre con la tasa de filtración glomerular durante el embarazo normal? [orig. n.º 42]</w:t>
      </w:r>
    </w:p>
    <w:p>
      <w:r>
        <w:t>→ Aumenta alrededor de 50 %.</w:t>
      </w:r>
    </w:p>
    <w:p>
      <w:r>
        <w:t>36. ¿Cuál es la indicación clásica por edad materna para ofrecer amniocentesis con cariotipo fetal? [orig. n.º 43]</w:t>
      </w:r>
    </w:p>
    <w:p>
      <w:r>
        <w:t>En duda: La versión anterior decía "edad superior a 35 años". La edad materna avanzada se define como 35 años o más. Actualmente se recomienda ofrecer el estudio a toda embarazada, pero en reactivos clásicos se pregunta el corte por edad.</w:t>
      </w:r>
    </w:p>
    <w:p>
      <w:r>
        <w:t>→ Edad materna ≥ 35 años.</w:t>
      </w:r>
    </w:p>
    <w:p>
      <w:r>
        <w:t>37. ¿Cuál es el mejor predictor de parto pretérmino? [orig. n.º 44]</w:t>
      </w:r>
    </w:p>
    <w:p>
      <w:r>
        <w:t>→ Longitud cervical medida por ecografía transvaginal.</w:t>
      </w:r>
    </w:p>
    <w:p>
      <w:r>
        <w:t>38. ¿Cuál de los siguientes hallazgos esperaría observar durante una laparoscopía? [ENARM Master Arma 21/09 (25) n.1]</w:t>
      </w:r>
    </w:p>
    <w:p>
      <w:r>
        <w:t>→ Adherencias filiformes entre la cápsula hepática y la pared abdominal</w:t>
      </w:r>
    </w:p>
    <w:p>
      <w:r>
        <w:t>39. ¿Cuál sería el manejo quirúrgico recomendado según la GPC? [ENARM Master Arma 21/09 (25) n.4]</w:t>
      </w:r>
    </w:p>
    <w:p>
      <w:r>
        <w:t>→ Cierre secundario del esfínter anal bajo anestesia regional o general</w:t>
      </w:r>
    </w:p>
    <w:p>
      <w:r>
        <w:t>40. ¿Cuál es la indicación del uso de platinos en pacientes con cáncer de endometrio? [ENARM Master Arma 21/09 (25) n.8]</w:t>
      </w:r>
    </w:p>
    <w:p>
      <w:r>
        <w:t>→ Estadio I de alto riesgo</w:t>
      </w:r>
    </w:p>
    <w:p>
      <w:r>
        <w:t>41. ¿Cuál es el tratamiento de elección? [ENARM Master Arma 21/09 (25) n.16]</w:t>
      </w:r>
    </w:p>
    <w:p>
      <w:r>
        <w:t>→ Aspiración mecánica endouterina</w:t>
      </w:r>
    </w:p>
    <w:p>
      <w:r>
        <w:t>42. ¿Cuál quimioterapéutico está indicado en paciente con mola hidatiforme para evitar el riesgo de neoplasia trofoblástica? [ENARM Master Arma 21/09 (25) n.18]</w:t>
      </w:r>
    </w:p>
    <w:p>
      <w:r>
        <w:t>→ Actinomicina</w:t>
      </w:r>
    </w:p>
    <w:p>
      <w:r>
        <w:t>43. Se realiza rastreo y se encuentra FCF de 110 lpm. ¿Cuál es su diagnóstico hasta ahora? [ENARM Master Arma 21/09 (25) n.19]</w:t>
      </w:r>
    </w:p>
    <w:p>
      <w:r>
        <w:t>→ Embarazo viable</w:t>
      </w:r>
    </w:p>
    <w:p>
      <w:r>
        <w:t>44. Si después de 24 horas no se ha iniciado el trabajo de parto, ¿Cuál es la conducta más adecuada? [ENARM Master Arma 21/09 (25) n.25]</w:t>
      </w:r>
    </w:p>
    <w:p>
      <w:r>
        <w:t>→ Inducir el trabajo de parto con oxitocina</w:t>
      </w:r>
    </w:p>
    <w:p>
      <w:r>
        <w:t>45. ¿Cuál de las siguientes afirmaciones sobre la clasificación histológica del carcinoma endometrial es correcta según la OMS 2020? [ENARM Master Arma 21/09 (50) n.2]</w:t>
      </w:r>
    </w:p>
    <w:p>
      <w:r>
        <w:t>→ La clasificación por grados depende del componente sólido en carcinomas endometrioides</w:t>
      </w:r>
    </w:p>
    <w:p>
      <w:r>
        <w:t>46. What is the recommended approach for treating a Bartholin's gland cyst? [ENARM Master Arma 21/09 (50) n.18]</w:t>
      </w:r>
    </w:p>
    <w:p>
      <w:r>
        <w:t>→ Incision and drainage</w:t>
      </w:r>
    </w:p>
    <w:p>
      <w:r>
        <w:t>47. En una paciente con dolor vulvar crónico y sin hallazgos clínicos visibles, ¿cuál de las siguientes indicaciones sobre el uso de biopsia es correcta? [ENARM Master Arma 21/09 (50) n.25]</w:t>
      </w:r>
    </w:p>
    <w:p>
      <w:r>
        <w:t>→ Se recomienda solo cuando hay lesiones visibles para diagnóstico diferencial</w:t>
      </w:r>
    </w:p>
    <w:p>
      <w:r>
        <w:t>48. ¿Cada qué tiempo se deben realizar estudios de imagen para descartar coartación de aorta en pacientes con síndrome de Turner? [ENARM Master Arma 21/09 (50) n.29]</w:t>
      </w:r>
    </w:p>
    <w:p>
      <w:r>
        <w:t>→ Cada 5 años</w:t>
      </w:r>
    </w:p>
    <w:p>
      <w:r>
        <w:t>49. ¿Qué vacuna de influenza se debe de aplicar en las mujeres embarazadas? [ENARM Master Arma 21/09 (50) n.35]</w:t>
      </w:r>
    </w:p>
    <w:p>
      <w:r>
        <w:t>→ Trivalente inactivada</w:t>
      </w:r>
    </w:p>
    <w:p>
      <w:r>
        <w:t>50. ¿A qué edad se debe de iniciar el tamizaje en pacientes con antecedentese Ca de mama en familiares de primer grado? [ENARM Master Arma 21/09 (50) n.49]</w:t>
      </w:r>
    </w:p>
    <w:p>
      <w:r>
        <w:t>→ 30 años</w:t>
      </w:r>
    </w:p>
    <w:p>
      <w:r>
        <w:t>51. ¿Cuál es la conducta más adecuada en relación con la vacuna triple viral administrada inadvertidamente durante el embarazo? [ENARM Master Dificultad 21/09 (40) n.13]</w:t>
      </w:r>
    </w:p>
    <w:p>
      <w:r>
        <w:t>→ Explicar que la vacuna no representa riesgo y continuar con el control prenatal habitual</w:t>
      </w:r>
    </w:p>
    <w:p>
      <w:r>
        <w:t>52. ¿Cuál es la meta de glucosa postprandial a las 2 horas en pacientes con diabetes gestacional? [ENARM Master Dificultad 21/09 (40) n.26]</w:t>
      </w:r>
    </w:p>
    <w:p>
      <w:r>
        <w:t>→ &lt;120 mg/dL</w:t>
      </w:r>
    </w:p>
    <w:p>
      <w:r>
        <w:t>53. ¿Qué complicación materna es más frecuente en mujeres con diabetes gestacional mal controlada? [ENARM Master Dificultad 21/09 (40) n.28]</w:t>
      </w:r>
    </w:p>
    <w:p>
      <w:r>
        <w:t>→ Hipertensión gestacional</w:t>
      </w:r>
    </w:p>
    <w:p>
      <w:r>
        <w:t>54. ¿Qué técnica quirúrgica se recomienda para el tratamiento de endometriomas ováricos? [ENARM Master Arma 22/09 (150) n.3]</w:t>
      </w:r>
    </w:p>
    <w:p>
      <w:r>
        <w:t>→ Cistectomía</w:t>
      </w:r>
    </w:p>
    <w:p>
      <w:r>
        <w:t>55. ¿Cuál es el marcador biológico más comúnmente utilizado para el diagnóstico de endometriosis? [ENARM Master Arma 22/09 (150) n.4]</w:t>
      </w:r>
    </w:p>
    <w:p>
      <w:r>
        <w:t>→ CA-125</w:t>
      </w:r>
    </w:p>
    <w:p>
      <w:r>
        <w:t>56. El parto se asiste con fórceps, logrando el nacimiento de un recién nacido masculino, Apgar 6/9. Se observa líquido meconial en la vía aérea del neonato. ¿Cuál sería la conducta inmediata más adecuada? [ENARM Master Arma 22/09 (150) n.8]</w:t>
      </w:r>
    </w:p>
    <w:p>
      <w:r>
        <w:t>→ Estimulación del neonato sin realizar aspiración inicial</w:t>
      </w:r>
    </w:p>
    <w:p>
      <w:r>
        <w:t>57. Tras estabilizar al recién nacido, se observa que la madre presenta sangrado abundante. La exploración revela un útero contraído ¿Cuál es la causa más probable del sangrado? [ENARM Master Arma 22/09 (150) n.9]</w:t>
      </w:r>
    </w:p>
    <w:p>
      <w:r>
        <w:t>→ Desgarro del canal de parto</w:t>
      </w:r>
    </w:p>
    <w:p>
      <w:r>
        <w:t>58. ¿Cuál es el tratamiento adecuado? [ENARM Master Arma 22/09 (150) n.18]</w:t>
      </w:r>
    </w:p>
    <w:p>
      <w:r>
        <w:t>→ Metrotexato + ácido folinico</w:t>
      </w:r>
    </w:p>
    <w:p>
      <w:r>
        <w:t>59. Mediante ultrasonografía ¿Qué hallazgos usted esperaría detectar? [ENARM Master Arma 22/09 (150) n.33]</w:t>
      </w:r>
    </w:p>
    <w:p>
      <w:r>
        <w:t>→ Ovario aumentado de tamaño, hipoecogenico</w:t>
      </w:r>
    </w:p>
    <w:p>
      <w:r>
        <w:t>60. ¿Cuál de las siguientes opciones es correcta sobre el uso de técnicas perineales durante el segundo periodo del trabajo de parto? [ENARM Master Arma 22/09 (150) n.42]</w:t>
      </w:r>
    </w:p>
    <w:p>
      <w:r>
        <w:t>→ El masaje perineal se asocia con menor riesgo de desgarros de tercer y cuarto grado</w:t>
      </w:r>
    </w:p>
    <w:p>
      <w:r>
        <w:t>61. ¿Cuál es la interpretación correcta del VDRL? [ENARM Master Arma 22/09 (150) n.46]</w:t>
      </w:r>
    </w:p>
    <w:p>
      <w:r>
        <w:t>→ Sugiere sífilis activa</w:t>
      </w:r>
    </w:p>
    <w:p>
      <w:r>
        <w:t>62. ¿Cuál es el objetivo del seguimiento serológico? [ENARM Master Arma 22/09 (150) n.47]</w:t>
      </w:r>
    </w:p>
    <w:p>
      <w:r>
        <w:t>→ Documentar descenso de títulos</w:t>
      </w:r>
    </w:p>
    <w:p>
      <w:r>
        <w:t>63. ¿Cuál es la incidencia del aborto espontaneo? [ENARM Master Arma 22/09 (150) n.55]</w:t>
      </w:r>
    </w:p>
    <w:p>
      <w:r>
        <w:t>→ 50 a 70%</w:t>
      </w:r>
    </w:p>
    <w:p>
      <w:r>
        <w:t>64. ¿A qué edad existe más riesgo de aborto espontáneo? [ENARM Master Arma 22/09 (150) n.56]</w:t>
      </w:r>
    </w:p>
    <w:p>
      <w:r>
        <w:t>→ Después de los 40 años</w:t>
      </w:r>
    </w:p>
    <w:p>
      <w:r>
        <w:t>65. Forma parte de la neoplasia trofoblástica gestacional, excepto: [ENARM Master Arma 22/09 (150) n.67]</w:t>
      </w:r>
    </w:p>
    <w:p>
      <w:r>
        <w:t>→ Mola hidatiforme incompleta</w:t>
      </w:r>
    </w:p>
    <w:p>
      <w:r>
        <w:t>66. ¿Cuál de las siguientes es una complicación de la mola hidatiforme? [ENARM Master Arma 22/09 (150) n.68]</w:t>
      </w:r>
    </w:p>
    <w:p>
      <w:r>
        <w:t>→ Hipertiroidismo</w:t>
      </w:r>
    </w:p>
    <w:p>
      <w:r>
        <w:t>67. What is the recommended time frame for bone densitometry with a baseline T score of less than -1 standard deviation? [ENARM Master Arma 22/09 (150) n.78]</w:t>
      </w:r>
    </w:p>
    <w:p>
      <w:r>
        <w:t>→ Every 2 years</w:t>
      </w:r>
    </w:p>
    <w:p>
      <w:r>
        <w:t>68. ¿En qué momentos se indica la aplicación de inmunoglobulina anti-D? [ENARM Master Arma 22/09 (150) n.84]</w:t>
      </w:r>
    </w:p>
    <w:p>
      <w:r>
        <w:t>→ A las 28 semanas de gestación y al término del embarazo si RN Rh positivo</w:t>
      </w:r>
    </w:p>
    <w:p>
      <w:r>
        <w:t>69. ¿Cuál es otra indicación para aplicar inmunoglobulina anti-D en gestante Rh negativo? [ENARM Master Arma 22/09 (150) n.85]</w:t>
      </w:r>
    </w:p>
    <w:p>
      <w:r>
        <w:t>→ Embarazo ectópico</w:t>
      </w:r>
    </w:p>
    <w:p>
      <w:r>
        <w:t>70. ¿Cuál es la complicación neonatal característica de isoinmunización Rh negativo? [ENARM Master Arma 22/09 (150) n.86]</w:t>
      </w:r>
    </w:p>
    <w:p>
      <w:r>
        <w:t>→ Hídrops</w:t>
      </w:r>
    </w:p>
    <w:p>
      <w:r>
        <w:t>71. ¿Cuál es el mecanismo principal que explica su riesgo de parto pretérmino? [ENARM Master Arma 22/09 (150) n.90]</w:t>
      </w:r>
    </w:p>
    <w:p>
      <w:r>
        <w:t>→ Insuficiencia cervical</w:t>
      </w:r>
    </w:p>
    <w:p>
      <w:r>
        <w:t>72. Which of the following is the most likely underlying cause of this patient’s condition? [ENARM Master Arma 22/09 (150) n.93]</w:t>
      </w:r>
    </w:p>
    <w:p>
      <w:r>
        <w:t>→ Loss of an X chromosome</w:t>
      </w:r>
    </w:p>
    <w:p>
      <w:r>
        <w:t>73. ¿Qué lugar ocupa en el mundo la sepsis materna como causa de mortalidad materna? [ENARM Master Arma 22/09 (150) n.104]</w:t>
      </w:r>
    </w:p>
    <w:p>
      <w:r>
        <w:t>→ Tercer lugar</w:t>
      </w:r>
    </w:p>
    <w:p>
      <w:r>
        <w:t>74. ¿Cuál de los siguientes no forma parte de los factores de riesgo ante parto para el desarrollo de sepsis materna? [ENARM Master Arma 22/09 (150) n.105]</w:t>
      </w:r>
    </w:p>
    <w:p>
      <w:r>
        <w:t>→ Realizar más de cinco tactos vaginales</w:t>
      </w:r>
    </w:p>
    <w:p>
      <w:r>
        <w:t>75. Se clasifica como tumor de ovario tipo I, excepto: [ENARM Master Arma 22/09 (150) n.137]</w:t>
      </w:r>
    </w:p>
    <w:p>
      <w:r>
        <w:t>→ Mixto mülleriano</w:t>
      </w:r>
    </w:p>
    <w:p>
      <w:r>
        <w:t>76. Si se decide administrar cisplatino con paclitaxel ¿Para cuando tiempo se debe administrar? [ENARM Master Arma 22/09 (150) n.138]</w:t>
      </w:r>
    </w:p>
    <w:p>
      <w:r>
        <w:t>→ Para 24 horas</w:t>
      </w:r>
    </w:p>
    <w:p>
      <w:pPr>
        <w:pStyle w:val="Heading1"/>
      </w:pPr>
      <w:r>
        <w:t>Infectología</w:t>
      </w:r>
    </w:p>
    <w:p>
      <w:r>
        <w:t>77. ¿Cuál es la dosis letal estimada de tetanospasmina en el ser humano? [orig. n.º 7]</w:t>
      </w:r>
    </w:p>
    <w:p>
      <w:r>
        <w:t>En duda: La versión anterior daba un rango de "2 a 5 ng/kg". La cifra que suele citarse en los textos de referencia es 2.5 ng/kg; si el reactivo ofrece un rango, elija el que la contenga.</w:t>
      </w:r>
    </w:p>
    <w:p>
      <w:r>
        <w:t>→ Aproximadamente 2.5 ng/kg.</w:t>
      </w:r>
    </w:p>
    <w:p>
      <w:r>
        <w:t>78. ¿Cuál es el puntaje máximo de la escala de McIsaac (Centor modificada)? [orig. n.º 10]</w:t>
      </w:r>
    </w:p>
    <w:p>
      <w:r>
        <w:t>En duda: La pregunta original ("¿qué puntaje de Centor tiene el paciente?") dependía de un caso que no está en el documento. Además, la escala de Centor original solo llega a 4 puntos; el 5 corresponde a la modificación de McIsaac, que suma un punto por edad de 3 a 14 años.</w:t>
      </w:r>
    </w:p>
    <w:p>
      <w:r>
        <w:t>→ 5 puntos (la escala de Centor original tiene un máximo de 4).</w:t>
      </w:r>
    </w:p>
    <w:p>
      <w:r>
        <w:t>79. ¿Cuál es el agente más frecuente de la diarrea del viajero? [orig. n.º 33]</w:t>
      </w:r>
    </w:p>
    <w:p>
      <w:r>
        <w:t>→ Escherichia coli enterotoxigénica.</w:t>
      </w:r>
    </w:p>
    <w:p>
      <w:r>
        <w:t>80. ¿Cuál es el microorganismo más frecuente de endocarditis infecciosa en adultos? [orig. n.º 47]</w:t>
      </w:r>
    </w:p>
    <w:p>
      <w:r>
        <w:t>→ Staphylococcus aureus. En válvula nativa con evolución subaguda o antecedente odontológico: estreptococos del grupo viridans.</w:t>
      </w:r>
    </w:p>
    <w:p>
      <w:r>
        <w:t>Corregido: La versión anterior respondía "Streptococcus viridans". Ese agente fue históricamente la primera causa y sigue siéndolo en la endocarditis subaguda de válvula nativa, pero en las series actuales S. aureus es el más frecuente en general. Lea con cuidado si el reactivo describe un cuadro agudo o subagudo.</w:t>
      </w:r>
    </w:p>
    <w:p>
      <w:r>
        <w:t>81. ¿Cuál es el agente más frecuente de endocarditis con hemocultivos negativos? [orig. n.º 48]</w:t>
      </w:r>
    </w:p>
    <w:p>
      <w:r>
        <w:t>→ Coxiella burnetii (seguido de Bartonella spp.; clásicamente se mencionan también los HACEK).</w:t>
      </w:r>
    </w:p>
    <w:p>
      <w:r>
        <w:t>82. ¿De qué infecciones es Staphylococcus epidermidis el principal agente? [orig. n.º 58]</w:t>
      </w:r>
    </w:p>
    <w:p>
      <w:r>
        <w:t>→ Infecciones asociadas a catéteres endovasculares y a dispositivos protésicos.</w:t>
      </w:r>
    </w:p>
    <w:p>
      <w:r>
        <w:t>83. ¿Cuál de las siguientes aseveraciones de la teniasis intestinal es verdadera? [ENARM Master Dificultad 21/09 (40) n.7]</w:t>
      </w:r>
    </w:p>
    <w:p>
      <w:r>
        <w:t>→ La teniasis intestinal surge al consumir carne con cisticercos</w:t>
      </w:r>
    </w:p>
    <w:p>
      <w:r>
        <w:t>84. ¿Cuál es el esquema de primera línea recomendado en un adulto sin comorbilidades ni resistencias conocidas? [ENARM Master Arma 22/09 (150) n.13]</w:t>
      </w:r>
    </w:p>
    <w:p>
      <w:r>
        <w:t>→ Tenofovir + emtricitabina + dolutegravir</w:t>
      </w:r>
    </w:p>
    <w:p>
      <w:r>
        <w:t>85. Proceso fisiopatológico responsable del dolor radicular en herpes zóster [ENARM Master Arma 22/09 (150) n.61]</w:t>
      </w:r>
    </w:p>
    <w:p>
      <w:r>
        <w:t>→ Disfunción neuroquímica</w:t>
      </w:r>
    </w:p>
    <w:p>
      <w:r>
        <w:t>86. ¿Qué reacción de hipersensibilidad está asociada a la prueba de PPD? [ENARM Master Arma 22/09 (150) n.64]</w:t>
      </w:r>
    </w:p>
    <w:p>
      <w:r>
        <w:t>→ Tipo IV respuesta celular</w:t>
      </w:r>
    </w:p>
    <w:p>
      <w:r>
        <w:t>87. La mayor parte de los genes del complejo mayor de histocompatibilidad se localiza en el cromosoma: [ENARM Master Arma 22/09 (150) n.65]</w:t>
      </w:r>
    </w:p>
    <w:p>
      <w:r>
        <w:t>→ 6</w:t>
      </w:r>
    </w:p>
    <w:p>
      <w:r>
        <w:t>88. ¿Cuál es el tratamiento de primera elección para dicha patología? [ENARM Master Arma 22/09 (150) n.89]</w:t>
      </w:r>
    </w:p>
    <w:p>
      <w:r>
        <w:t>→ Metronidazol 750mg, tres veces al día por cinco días</w:t>
      </w:r>
    </w:p>
    <w:p>
      <w:r>
        <w:t>89. ¿Qué esquema de antirretrovirales se usa para la profilaxis preexposición? [ENARM Master Arma 22/09 (150) n.100]</w:t>
      </w:r>
    </w:p>
    <w:p>
      <w:r>
        <w:t>→ 2 inhibidores nucleosídicos de la transcriptasa inversa</w:t>
      </w:r>
    </w:p>
    <w:p>
      <w:r>
        <w:t>90. ¿Cuál de los siguientes casos no se considera candidato a PrEP? [ENARM Master Arma 22/09 (150) n.101]</w:t>
      </w:r>
    </w:p>
    <w:p>
      <w:r>
        <w:t>→ Personal de salud</w:t>
      </w:r>
    </w:p>
    <w:p>
      <w:r>
        <w:t>91. Dentro del diagnostico de dicha patología ¿Cuál no es una forma de obtener muestra en vía respiratoria? [ENARM Master Arma 22/09 (150) n.139]</w:t>
      </w:r>
    </w:p>
    <w:p>
      <w:r>
        <w:t>→ Cepillado bronquial</w:t>
      </w:r>
    </w:p>
    <w:p>
      <w:pPr>
        <w:pStyle w:val="Heading1"/>
      </w:pPr>
      <w:r>
        <w:t>Medicina Interna y Urgencias</w:t>
      </w:r>
    </w:p>
    <w:p>
      <w:r>
        <w:t>92. Si existiera una hernia uncal ¿Qué hallazgos podrías encontrar? [ENARM Master Arma 21/09 (50) n.32]</w:t>
      </w:r>
    </w:p>
    <w:p>
      <w:r>
        <w:t>→ Dilatación pupilar ipsilateral + hemiparesia contralateral</w:t>
      </w:r>
    </w:p>
    <w:p>
      <w:r>
        <w:t>93. ¿Cuál es la tercera manifestación de acuerdo con su frecuencia de presentación que los pacientes refieren tras la ingesta de un cáustico? [ENARM Master Arma 22/09 (150) n.49]</w:t>
      </w:r>
    </w:p>
    <w:p>
      <w:r>
        <w:t>→ Vómitos</w:t>
      </w:r>
    </w:p>
    <w:p>
      <w:r>
        <w:t>94. ¿Qué porcentaje de casos de quemaduras por cáusticos son debidos a la ingesta de sosa cáustica? [ENARM Master Arma 22/09 (150) n.51]</w:t>
      </w:r>
    </w:p>
    <w:p>
      <w:r>
        <w:t>→ 59 a 66%</w:t>
      </w:r>
    </w:p>
    <w:p>
      <w:r>
        <w:t>95. ¿Cuál es la prueba paraclínica que debemos hacer de inmediato? [ENARM Master Arma 22/09 (150) n.59]</w:t>
      </w:r>
    </w:p>
    <w:p>
      <w:r>
        <w:t>→ No requiere más pruebas diagnósticas.</w:t>
      </w:r>
    </w:p>
    <w:p>
      <w:r>
        <w:t>96. ¿Qué componente en sangre sería el principal indicativo de desgranulación de mastocitos? [ENARM Master Arma 22/09 (150) n.147]</w:t>
      </w:r>
    </w:p>
    <w:p>
      <w:r>
        <w:t>→ Triptasa madura</w:t>
      </w:r>
    </w:p>
    <w:p>
      <w:pPr>
        <w:pStyle w:val="Heading1"/>
      </w:pPr>
      <w:r>
        <w:t>Nefrología</w:t>
      </w:r>
    </w:p>
    <w:p>
      <w:r>
        <w:t>97. ¿Cómo se define la enfermedad renal crónica según KDIGO? [orig. n.º 65]</w:t>
      </w:r>
    </w:p>
    <w:p>
      <w:r>
        <w:t>→ Alteraciones de la estructura o función renal presentes durante más de 3 meses, con implicaciones para la salud (marcadores de daño renal o TFG &lt; 60 mL/min/1.73 m²).</w:t>
      </w:r>
    </w:p>
    <w:p>
      <w:r>
        <w:t>98. ¿En el citologico de liquido obtenido de paciente con peritonitis asociada a catéter cuantos leucocitos por ml y qué porcentaje de PMN debe existir para diagnosticar el proceso infeccioso? [ENARM Master Dificultad 21/09 (40) n.3]</w:t>
      </w:r>
    </w:p>
    <w:p>
      <w:r>
        <w:t>→ Mas de 100 leucos y mas de 50% de PMN</w:t>
      </w:r>
    </w:p>
    <w:p>
      <w:r>
        <w:t>99. ¿Qué modalidad de diálisis tiene menor incidencia de peritonitis? [ENARM Master Dificultad 21/09 (40) n.32]</w:t>
      </w:r>
    </w:p>
    <w:p>
      <w:r>
        <w:t>→ DPA</w:t>
      </w:r>
    </w:p>
    <w:p>
      <w:r>
        <w:t>100. What finding do you observe in light microscopy and what is the prognosis without treatment? [ENARM Master Arma 22/09 (150) n.39]</w:t>
      </w:r>
    </w:p>
    <w:p>
      <w:r>
        <w:t>→ Crescents/Renal failure is imminent</w:t>
      </w:r>
    </w:p>
    <w:p>
      <w:r>
        <w:t>101. Lugar que ocupa México en el mundo en mortalidad por ERC [ENARM Master Arma 22/09 (150) n.43]</w:t>
      </w:r>
    </w:p>
    <w:p>
      <w:r>
        <w:t>→ Sexto</w:t>
      </w:r>
    </w:p>
    <w:p>
      <w:r>
        <w:t>102. ¿Cuál es el estándar de oro para medir el filtrado glomerular? [ENARM Master Arma 22/09 (150) n.44]</w:t>
      </w:r>
    </w:p>
    <w:p>
      <w:r>
        <w:t>→ Depuración de inulina y la depuración de plasma basada en la depuración de marcadores exógenos</w:t>
      </w:r>
    </w:p>
    <w:p>
      <w:r>
        <w:t>103. ¿Cuál es la fístula arteriovenosa de elección para hemodiálisis? [ENARM Master Arma 22/09 (150) n.127]</w:t>
      </w:r>
    </w:p>
    <w:p>
      <w:r>
        <w:t>→ Autóloga</w:t>
      </w:r>
    </w:p>
    <w:p>
      <w:r>
        <w:t>104. ¿A partir de qué nivel de flujo del acceso vascular se debe derivar con angiología? [ENARM Master Arma 22/09 (150) n.128]</w:t>
      </w:r>
    </w:p>
    <w:p>
      <w:r>
        <w:t>→ Menos de 300 ml/min</w:t>
      </w:r>
    </w:p>
    <w:p>
      <w:pPr>
        <w:pStyle w:val="Heading1"/>
      </w:pPr>
      <w:r>
        <w:t>Neurología</w:t>
      </w:r>
    </w:p>
    <w:p>
      <w:r>
        <w:t>105. ¿Cuál es la dosis de riboflavina para la profilaxis de migraña en adultos? [orig. n.º 9]</w:t>
      </w:r>
    </w:p>
    <w:p>
      <w:r>
        <w:t>→ 400 mg/día (en niños de 8 años o más: 200 a 400 mg/día).</w:t>
      </w:r>
    </w:p>
    <w:p>
      <w:r>
        <w:t>Corregido: La versión anterior preguntaba "la dosis recomendada de riboflavina" sin indicación y respondía "100 a 200 mg/día". Sin indicación la pregunta no tiene respuesta única (el requerimiento diario es de alrededor de 1 mg), y 100–200 mg/día no coincide con la profilaxis de migraña. Dosis de 100 a 120 mg/día se usan en algunos errores innatos del metabolismo. Si su fuente original se refería a otra indicación, conviene verificarla.</w:t>
      </w:r>
    </w:p>
    <w:p>
      <w:pPr>
        <w:pStyle w:val="Heading1"/>
      </w:pPr>
      <w:r>
        <w:t>Neurología y Psiquiatría</w:t>
      </w:r>
    </w:p>
    <w:p>
      <w:r>
        <w:t>106. ¿Cuál es la prevalencia de apnea obstructiva del sueño en pacientes con EVC? [ENARM Master Dificultad 21/09 (40) n.6]</w:t>
      </w:r>
    </w:p>
    <w:p>
      <w:r>
        <w:t>→ 70%</w:t>
      </w:r>
    </w:p>
    <w:p>
      <w:r>
        <w:t>107. Cuál es el principal factor de riesgo no modificable del EVC isquémico? [ENARM Master Arma 22/09 (150) n.75]</w:t>
      </w:r>
    </w:p>
    <w:p>
      <w:r>
        <w:t>→ Edad</w:t>
      </w:r>
    </w:p>
    <w:p>
      <w:r>
        <w:t>108. Cuál de los siguientes es el principal factor de riesgo modificable para padecer EVC isquémico? [ENARM Master Arma 22/09 (150) n.76]</w:t>
      </w:r>
    </w:p>
    <w:p>
      <w:r>
        <w:t>→ Hipertensión arterial</w:t>
      </w:r>
    </w:p>
    <w:p>
      <w:r>
        <w:t>109. Cuál es la meta de presión arterial como prevención secundaria en un paciente con EVC? [ENARM Master Arma 22/09 (150) n.77]</w:t>
      </w:r>
    </w:p>
    <w:p>
      <w:r>
        <w:t>→ ‹140/90 mmHg</w:t>
      </w:r>
    </w:p>
    <w:p>
      <w:pPr>
        <w:pStyle w:val="Heading1"/>
      </w:pPr>
      <w:r>
        <w:t>Oftalmología</w:t>
      </w:r>
    </w:p>
    <w:p>
      <w:r>
        <w:t>110. ¿Qué diagnóstico debe descartarse primero ante leucocoria en un menor de 5 años? [orig. n.º 20]</w:t>
      </w:r>
    </w:p>
    <w:p>
      <w:r>
        <w:t>→ Retinoblastoma.</w:t>
      </w:r>
    </w:p>
    <w:p>
      <w:r>
        <w:t>111. ¿Cuál es la causa con mayor prevalencia de ceguera en la población con retinopatía diabética? [ENARM Master Arma 21/09 (50) n.16]</w:t>
      </w:r>
    </w:p>
    <w:p>
      <w:r>
        <w:t>→ Edema macular diabético</w:t>
      </w:r>
    </w:p>
    <w:p>
      <w:r>
        <w:t>112. ¿Cuántas veces y en qué momentos del día se recomiendan los masajes de Crigler? [ENARM Master Arma 22/09 (150) n.20]</w:t>
      </w:r>
    </w:p>
    <w:p>
      <w:r>
        <w:t>→ 10 veces; mañana y tarde</w:t>
      </w:r>
    </w:p>
    <w:p>
      <w:r>
        <w:t>113. ¿Cuál de las siguientes respuestas disminuye la incidencia de opacidad de cápsula posterior? [ENARM Master Arma 22/09 (150) n.106]</w:t>
      </w:r>
    </w:p>
    <w:p>
      <w:r>
        <w:t>→ Lente intraocular con bordes cuadrados</w:t>
      </w:r>
    </w:p>
    <w:p>
      <w:r>
        <w:t>114. ¿Cuál es la utilidad principal de la clasificación de Reese-Ellsworth en pacientes con retinoblastoma? [ENARM Master Arma 22/09 (150) n.124]</w:t>
      </w:r>
    </w:p>
    <w:p>
      <w:r>
        <w:t>→ Valorar la probabilidad de preservar el globo ocular</w:t>
      </w:r>
    </w:p>
    <w:p>
      <w:r>
        <w:t>115. Cuál es el tratamiento de elección? [ENARM Master Arma 22/09 (150) n.130]</w:t>
      </w:r>
    </w:p>
    <w:p>
      <w:r>
        <w:t>→ Tetraciclina tópica y eritromicina sistémica</w:t>
      </w:r>
    </w:p>
    <w:p>
      <w:pPr>
        <w:pStyle w:val="Heading1"/>
      </w:pPr>
      <w:r>
        <w:t>Oncología y Hematología</w:t>
      </w:r>
    </w:p>
    <w:p>
      <w:r>
        <w:t>116. ¿En qué porcentaje el hiperesplenismo es causa de esplenectomía? [orig. n.º 2]</w:t>
      </w:r>
    </w:p>
    <w:p>
      <w:r>
        <w:t>En duda: Dato no verificado. La pregunta es ambigua (no queda claro si se refiere al porcentaje de esplenectomías debidas a hiperesplenismo o al de pacientes con hiperesplenismo que terminan en esplenectomía) y la cifra no aparece como dato estándar en los textos de referencia. Se conserva la respuesta original solo como referencia; se recomienda no invertir tiempo en memorizarlo hasta confirmar la fuente.</w:t>
      </w:r>
    </w:p>
    <w:p>
      <w:r>
        <w:t>→ 50 % (sin verificar).</w:t>
      </w:r>
    </w:p>
    <w:p>
      <w:r>
        <w:t>117. ¿Qué tipo de neoplasia es la micosis fungoide? [orig. n.º 45]</w:t>
      </w:r>
    </w:p>
    <w:p>
      <w:r>
        <w:t>→ Linfoma no Hodgkin de células T (el linfoma cutáneo de células T más frecuente).</w:t>
      </w:r>
    </w:p>
    <w:p>
      <w:r>
        <w:t>118. ¿Cuál es el tumor más frecuente del aparato genital femenino? [orig. n.º 59]</w:t>
      </w:r>
    </w:p>
    <w:p>
      <w:r>
        <w:t>→ Leiomioma uterino (tumor benigno).</w:t>
      </w:r>
    </w:p>
    <w:p>
      <w:r>
        <w:t>119. ¿Cuál es la causa más frecuente del síndrome de vena cava superior? [orig. n.º 60]</w:t>
      </w:r>
    </w:p>
    <w:p>
      <w:r>
        <w:t>→ Carcinoma broncogénico, sobre todo de células pequeñas.</w:t>
      </w:r>
    </w:p>
    <w:p>
      <w:r>
        <w:t>120. ¿Cuál es el tipo histológico más frecuente en el cáncer de primario desconocido? [orig. n.º 61]</w:t>
      </w:r>
    </w:p>
    <w:p>
      <w:r>
        <w:t>→ Adenocarcinoma bien o moderadamente diferenciado.</w:t>
      </w:r>
    </w:p>
    <w:p>
      <w:r>
        <w:t>121. Tratamiento que ha demostrado obtener una remisión en más del 80% de los pacientes: [ENARM Master Arma 22/09 (10) n.6]</w:t>
      </w:r>
    </w:p>
    <w:p>
      <w:r>
        <w:t>→ Rituximab más metotrexato y citarabina</w:t>
      </w:r>
    </w:p>
    <w:p>
      <w:r>
        <w:t>122. ¿Este tipo de pacientes presenta un mayor riesgo de desarrollar cuál de las siguientes enfermedades? [ENARM Master Arma 22/09 (150) n.30]</w:t>
      </w:r>
    </w:p>
    <w:p>
      <w:r>
        <w:t>→ Carcinoma hepatocelular</w:t>
      </w:r>
    </w:p>
    <w:p>
      <w:r>
        <w:t>123. ¿Cuál de las siguientes características sugiere que la trombocitopenia es inmune primaria y no secundaria? [ENARM Master Arma 22/09 (150) n.123]</w:t>
      </w:r>
    </w:p>
    <w:p>
      <w:r>
        <w:t>→ Ausencia de otras citopenias</w:t>
      </w:r>
    </w:p>
    <w:p>
      <w:r>
        <w:t>124. ¿A qué porcentaje corresponde el SHU atípico? [ENARM Master Arma 22/09 (150) n.150]</w:t>
      </w:r>
    </w:p>
    <w:p>
      <w:r>
        <w:t>→ 5 a 10%</w:t>
      </w:r>
    </w:p>
    <w:p>
      <w:pPr>
        <w:pStyle w:val="Heading1"/>
      </w:pPr>
      <w:r>
        <w:t>Otorrinolaringología</w:t>
      </w:r>
    </w:p>
    <w:p>
      <w:r>
        <w:t>125. ¿Cuál es la complicación supurativa intratemporal más frecuente de la otitis media aguda? [orig. n.º 29]</w:t>
      </w:r>
    </w:p>
    <w:p>
      <w:r>
        <w:t>En duda: La versión anterior preguntaba por la "complicación más frecuente" en general. Tomada literalmente, la más frecuente es la perforación timpánica o el derrame persistente; la mastoiditis es la complicación supurativa más frecuente.</w:t>
      </w:r>
    </w:p>
    <w:p>
      <w:r>
        <w:t>→ Mastoiditis aguda.</w:t>
      </w:r>
    </w:p>
    <w:p>
      <w:r>
        <w:t>126. Según el diagnóstico y el tipo de hipoacusia ¿Cuál de las siguientes no corresponde? [ENARM Master Arma 21/09 (50) n.21]</w:t>
      </w:r>
    </w:p>
    <w:p>
      <w:r>
        <w:t>→ Rinne positivo</w:t>
      </w:r>
    </w:p>
    <w:p>
      <w:pPr>
        <w:pStyle w:val="Heading1"/>
      </w:pPr>
      <w:r>
        <w:t>Pediatría y Neonatología</w:t>
      </w:r>
    </w:p>
    <w:p>
      <w:r>
        <w:t>127. ¿A qué edad suelen aparecer los primeros síntomas de una comunicación interventricular (CIV) grande? [orig. n.º 3]</w:t>
      </w:r>
    </w:p>
    <w:p>
      <w:r>
        <w:t>→ Entre el primer y el segundo mes de vida, cuando disminuyen las resistencias vasculares pulmonares.</w:t>
      </w:r>
    </w:p>
    <w:p>
      <w:r>
        <w:t>128. ¿Cuál es la tríada clínica de la laringotraqueítis aguda (LTA, crup)? [orig. n.º 5]</w:t>
      </w:r>
    </w:p>
    <w:p>
      <w:r>
        <w:t>→ Disfonía, estridor laríngeo inspiratorio y tos traqueal ("perruna").</w:t>
      </w:r>
    </w:p>
    <w:p>
      <w:r>
        <w:t>129. ¿Qué escala se utiliza para evaluar la gravedad de la laringotraqueítis aguda? [orig. n.º 6]</w:t>
      </w:r>
    </w:p>
    <w:p>
      <w:r>
        <w:t>→ Escala de Westley.</w:t>
      </w:r>
    </w:p>
    <w:p>
      <w:r>
        <w:t>130. ¿Qué cinco parámetros evalúa la escala de Silverman-Andersen? [orig. n.º 11]</w:t>
      </w:r>
    </w:p>
    <w:p>
      <w:r>
        <w:t>→ Movimientos toracoabdominales (disociación), tiraje intercostal, retracción xifoidea, aleteo nasal y quejido espiratorio.</w:t>
      </w:r>
    </w:p>
    <w:p>
      <w:r>
        <w:t>Corregido: La versión anterior preguntaba cuál es el "primer dato" de la escala y respondía "aleteo nasal". En la tabla original y en la mayoría de los textos el primer parámetro es el movimiento toracoabdominal; el aleteo nasal ocupa el cuarto lugar. Como el orden varía entre fuentes, se reformuló para memorizar los cinco parámetros.</w:t>
      </w:r>
    </w:p>
    <w:p>
      <w:r>
        <w:t>131. ¿Después de cuántas semanas de vida se considera persistencia del conducto arterioso (PCA)? [orig. n.º 15]</w:t>
      </w:r>
    </w:p>
    <w:p>
      <w:r>
        <w:t>En duda: La definición varía entre fuentes: 72 horas (cierre funcional), 2 semanas o 6 semanas. Para el ENARM se prefiere la GPC del IMSS, que usa 6 semanas.</w:t>
      </w:r>
    </w:p>
    <w:p>
      <w:r>
        <w:t>→ Después de la 6.ª semana de vida extrauterina.</w:t>
      </w:r>
    </w:p>
    <w:p>
      <w:r>
        <w:t>132. ¿Cuál es el intervalo normal de hemoglobina en un lactante sano de 3 meses? [orig. n.º 16]</w:t>
      </w:r>
    </w:p>
    <w:p>
      <w:r>
        <w:t>→ 9.5 a 14 g/dL (nadir fisiológico).</w:t>
      </w:r>
    </w:p>
    <w:p>
      <w:r>
        <w:t>133. ¿Qué tríada define al síndrome hemolítico-urémico? [orig. n.º 21]</w:t>
      </w:r>
    </w:p>
    <w:p>
      <w:r>
        <w:t>→ Anemia hemolítica microangiopática (esquistocitos), trombocitopenia y lesión renal aguda.</w:t>
      </w:r>
    </w:p>
    <w:p>
      <w:r>
        <w:t>134. ¿Cuál es la prevalencia mundial de síntomas de asma en niños de 6 a 7 años según el estudio ISAAC? [orig. n.º 23]</w:t>
      </w:r>
    </w:p>
    <w:p>
      <w:r>
        <w:t>→ 11.7 %.</w:t>
      </w:r>
    </w:p>
    <w:p>
      <w:r>
        <w:t>135. ¿A qué edad se aplica la primera dosis de la vacuna triple viral (SRP)? [orig. n.º 27]</w:t>
      </w:r>
    </w:p>
    <w:p>
      <w:r>
        <w:t>→ A los 12 meses (la segunda, a los 18 meses).</w:t>
      </w:r>
    </w:p>
    <w:p>
      <w:r>
        <w:t>136. ¿A qué edad se aplica el refuerzo de la vacuna neumocócica conjugada? [orig. n.º 28]</w:t>
      </w:r>
    </w:p>
    <w:p>
      <w:r>
        <w:t>→ A los 12 meses (esquema 2, 4 y 12 meses).</w:t>
      </w:r>
    </w:p>
    <w:p>
      <w:r>
        <w:t>137. ¿Cómo se define obesidad en niños y adolescentes con el índice de masa corporal (IMC)? [orig. n.º 56]</w:t>
      </w:r>
    </w:p>
    <w:p>
      <w:r>
        <w:t>En duda: El punto de corte depende del patrón de referencia. CDC: percentil 95 o más. OMS (utilizado en la normativa mexicana): más de +2 desviaciones estándar. En adultos es IMC ≥ 30. Lea con atención qué patrón menciona el reactivo.</w:t>
      </w:r>
    </w:p>
    <w:p>
      <w:r>
        <w:t>→ IMC para la edad y sexo ≥ percentil 95 (CDC); con patrones OMS, &gt; +2 desviaciones estándar.</w:t>
      </w:r>
    </w:p>
    <w:p>
      <w:r>
        <w:t>138. ¿Qué vacunas le tocan a la edad de 6 meses? [ENARM Master Dificultad 21/09 (40) n.36]</w:t>
      </w:r>
    </w:p>
    <w:p>
      <w:r>
        <w:t>→ Hexavalente acelular + Influenza</w:t>
      </w:r>
    </w:p>
    <w:p>
      <w:pPr>
        <w:pStyle w:val="Heading1"/>
      </w:pPr>
      <w:r>
        <w:t>Psiquiatría</w:t>
      </w:r>
    </w:p>
    <w:p>
      <w:r>
        <w:t>139. ¿En qué situación la terapia electroconvulsiva (TEC) es tratamiento de primera elección? [orig. n.º 67]</w:t>
      </w:r>
    </w:p>
    <w:p>
      <w:r>
        <w:t>→ Depresión mayor con síntomas psicóticos y alto riesgo suicida o agitación grave (también catatonia e inanición por rechazo a la ingesta).</w:t>
      </w:r>
    </w:p>
    <w:p>
      <w:pPr>
        <w:pStyle w:val="Heading1"/>
      </w:pPr>
      <w:r>
        <w:t>Salud Pública y Epidemiología</w:t>
      </w:r>
    </w:p>
    <w:p>
      <w:r>
        <w:t>140. ¿Cómo se define el periodo de incubación de una enfermedad infecciosa? [orig. n.º 1]</w:t>
      </w:r>
    </w:p>
    <w:p>
      <w:r>
        <w:t>→ Tiempo que transcurre entre la invasión por el agente infeccioso y la aparición del primer signo o síntoma.</w:t>
      </w:r>
    </w:p>
    <w:p>
      <w:r>
        <w:t>141. ¿Cómo se calcula el índice de masa corporal (índice de Quetelet)? [orig. n.º 19]</w:t>
      </w:r>
    </w:p>
    <w:p>
      <w:r>
        <w:t>→ Peso en kg / (talla en m)².</w:t>
      </w:r>
    </w:p>
    <w:p>
      <w:r>
        <w:t>142. ¿Cuál es la población blanco de la vacuna contra el virus del papiloma humano (VPH) en México desde 2022? [orig. n.º 25]</w:t>
      </w:r>
    </w:p>
    <w:p>
      <w:r>
        <w:t>→ Niñas de 5.º grado de primaria y de 11 años no escolarizadas, en dosis única. Población de riesgo: personas de 11 a 49 años que viven con VIH.</w:t>
      </w:r>
    </w:p>
    <w:p>
      <w:r>
        <w:t>Corregido: La versión anterior respondía "10 a 49 años de edad sin importar su vida sexual", lo que no coincide con los lineamientos oficiales. Desde 2022, por recomendación de la OMS y del Grupo Técnico Asesor de Vacunación, el esquema es de una dosis en niñas de quinto grado y de 11 años no escolarizadas; el grupo de 11 a 49 años corresponde a personas que viven con VIH. A partir de 2025 se amplió a niños de quinto grado.</w:t>
      </w:r>
    </w:p>
    <w:p>
      <w:r>
        <w:t>143. ¿Cuál es la eficacia de la vacuna tetravalente contra VPH para prevenir lesiones cervicales de alto grado en mujeres no expuestas previamente a los genotipos vacunales? [orig. n.º 26]</w:t>
      </w:r>
    </w:p>
    <w:p>
      <w:r>
        <w:t>→ 98.2 %.</w:t>
      </w:r>
    </w:p>
    <w:p>
      <w:r>
        <w:t>144. ¿Cuál es el numerador de la tasa de mortalidad neonatal precoz? [orig. n.º 32]</w:t>
      </w:r>
    </w:p>
    <w:p>
      <w:r>
        <w:t>En duda: La versión anterior decía "hasta el día 7 de vida", lo que es ambiguo porque puede entenderse como incluyente del día 7. La mortalidad neonatal precoz abarca de 0 a 6 días.</w:t>
      </w:r>
    </w:p>
    <w:p>
      <w:r>
        <w:t>→ Defunciones de recién nacidos menores de 7 días (0 a 6 días) en un periodo y lugar determinados. Denominador: nacidos vivos.</w:t>
      </w:r>
    </w:p>
    <w:p>
      <w:r>
        <w:t>145. ¿Cuál es la definición de prevalencia en epidemiología? [orig. n.º 34]</w:t>
      </w:r>
    </w:p>
    <w:p>
      <w:r>
        <w:t>→ Proporción de individuos de una población que presentan la enfermedad en un momento o periodo determinado (incluye casos nuevos y antiguos).</w:t>
      </w:r>
    </w:p>
    <w:p>
      <w:pPr>
        <w:pStyle w:val="Heading1"/>
      </w:pPr>
      <w:r>
        <w:t>Traumatología</w:t>
      </w:r>
    </w:p>
    <w:p>
      <w:r>
        <w:t>146. Al cuanto tiempo de recomienda iniciar un programa de rehabilitación en pacientes manejados de forma conservadora: [ENARM Master Arma 21/09 (50) n.46]</w:t>
      </w:r>
    </w:p>
    <w:p>
      <w:r>
        <w:t>→ 1 a 4 días posterior al tratamiento</w:t>
      </w:r>
    </w:p>
    <w:p>
      <w:r>
        <w:t>147. Es una medida terapéutica complementaria en el manejo de las secuelas: [ENARM Master Arma 21/09 (50) n.47]</w:t>
      </w:r>
    </w:p>
    <w:p>
      <w:r>
        <w:t>→ Ultrasonido terapéutico</w:t>
      </w:r>
    </w:p>
    <w:p>
      <w:r>
        <w:t>148. Cual es la escala utilizada para valorar la funcionalidad del miembro superior: [ENARM Master Arma 21/09 (50) n.48]</w:t>
      </w:r>
    </w:p>
    <w:p>
      <w:r>
        <w:t>→ Escala DASH</w:t>
      </w:r>
    </w:p>
    <w:p>
      <w:pPr>
        <w:pStyle w:val="Heading1"/>
      </w:pPr>
      <w:r>
        <w:t>Urología</w:t>
      </w:r>
    </w:p>
    <w:p>
      <w:r>
        <w:t>149. ¿Cuál es la causa más común de uropatía obstructiva en pediatría? [orig. n.º 4]</w:t>
      </w:r>
    </w:p>
    <w:p>
      <w:r>
        <w:t>En duda: La pregunta original no especificaba la población. En niños la causa más común es la estenosis de la unión ureteropiélica; en adultos predominan la hiperplasia prostática y la litiasis.</w:t>
      </w:r>
    </w:p>
    <w:p>
      <w:r>
        <w:t>→ Estenosis de la unión ureteropiélica.</w:t>
      </w:r>
    </w:p>
    <w:p>
      <w:r>
        <w:t>150. ¿Cuál es el tratamiento ante sospecha clínica alta de torsión testicular (dolor súbito, testículo elevado y ausencia de reflejo cremastérico)? [orig. n.º 22]</w:t>
      </w:r>
    </w:p>
    <w:p>
      <w:r>
        <w:t>→ Exploración quirúrgica inmediata.</w:t>
      </w:r>
    </w:p>
    <w:p>
      <w:r>
        <w:t>151. ¿Cuál es el estudio de imagen de elección ante sospecha de torsión testicular? [orig. n.º 31]</w:t>
      </w:r>
    </w:p>
    <w:p>
      <w:r>
        <w:t>→ Ecografía Doppler, siempre que no retrase la cirugía cuando la sospecha clínica es alta.</w:t>
      </w:r>
    </w:p>
    <w:p>
      <w:r>
        <w:t>152. ¿Cuál es el estudio diagnóstico indicado como parte de la valoración pre quirúrgica? [ENARM Master Arma 21/09 (50) n.19]</w:t>
      </w:r>
    </w:p>
    <w:p>
      <w:r>
        <w:t>→ Manometría</w:t>
      </w:r>
    </w:p>
    <w:p>
      <w:r>
        <w:t>153. Usted decide realizar tomografía abdominal la cual muestra un absceso intrabdominal de 6 cm distal al sitio inflamatorio primario, usted lo clasifica como: [ENARM Master Arma 22/09 (150) n.2]</w:t>
      </w:r>
    </w:p>
    <w:p>
      <w:r>
        <w:t>→ Hinchey II</w:t>
      </w:r>
    </w:p>
    <w:p>
      <w:r>
        <w:t>154. ¿Cuál es el punto de corte de unidades formadoras de colonia (UFC/mL) que confirma bacteriuria significativa en una paciente con pielonefritis aguda? [ENARM Master Arma 22/09 (150) n.54]</w:t>
      </w:r>
    </w:p>
    <w:p>
      <w:r>
        <w:t>→ 10⁵ UFC/mL</w:t>
      </w:r>
    </w:p>
    <w:p>
      <w:r>
        <w:t>155. ¿Cuál es la alternativa terapéutica más apropiada ante el elevado riesgo quirúrgico del paciente? [ENARM Master Arma 22/09 (150) n.111]</w:t>
      </w:r>
    </w:p>
    <w:p>
      <w:r>
        <w:t>→ Aspiración o escleroterapia</w:t>
      </w:r>
    </w:p>
    <w:p>
      <w:pPr>
        <w:pStyle w:val="Heading1"/>
      </w:pPr>
      <w:r>
        <w:t>Referencias</w:t>
      </w:r>
    </w:p>
    <w:p>
      <w:r>
        <w:t>1. 1. Instituto Mexicano del Seguro Social. Guía de Referencia Rápida. Diagnóstico y tratamiento de la persistencia del conducto arterioso en niños, adolescentes y adultos. México: IMSS; 2010. Disponible en: https://www.imss.gob.mx/sites/all/statics/guiasclinicas/380GRR.pdf</w:t>
      </w:r>
    </w:p>
    <w:p>
      <w:r>
        <w:t>2. 2. Arias-de la Garza E, Macías-Parra M, Quinto-Morales G, Castillo-Bejarano JI. Vacunación durante el embarazo. Acta Pediatr Mex. 2018;39(5):314-9.</w:t>
      </w:r>
    </w:p>
    <w:p>
      <w:r>
        <w:t>3. 3. Organización Panamericana de la Salud. México lanza Campaña de Vacunación contra el Virus del Papiloma Humano. Washington, D. C.: OPS; 2024 [consultado 21 sep 2026]. Disponible en: https://www.paho.org/es/noticias/27-9-2024-mexico-lanza-campana-vacunacion-contra-virus-papiloma-humano</w:t>
      </w:r>
    </w:p>
    <w:p>
      <w:r>
        <w:t>4. 4. Comité de Medicamentos de la Asociación Española de Pediatría. Pediamécum: Riboflavina. Madrid: AEP [consultado 21 sep 2026]. Disponible en: https://aeped.es/pediamecum/generatepdf/api?n=83941</w:t>
      </w:r>
    </w:p>
    <w:p>
      <w:r>
        <w:t>5. 5. Secretaría de Salud. Norma Oficial Mexicana NOM-007-SSA2-2016, Para la atención de la mujer durante el embarazo, parto y puerperio, y de la persona recién nacida. Diario Oficial de la Federación. 7 abr 2016.</w:t>
      </w:r>
    </w:p>
    <w:p>
      <w:r>
        <w:t>6. 6. Kliegman RM, St Geme JW, Blum NJ, Shah SS, Tasker RC, Wilson KM. Nelson. Tratado de pediatría. 21.ª ed. Barcelona: Elsevier; 2020.</w:t>
      </w:r>
    </w:p>
    <w:p>
      <w:r>
        <w:t>7. 7. Jameson JL, Fauci AS, Kasper DL, Hauser SL, Longo DL, Loscalzo J. Harrison. Principios de medicina interna. 20.ª ed. México: McGraw-Hill Interamericana; 2018.</w:t>
      </w:r>
    </w:p>
    <w:p>
      <w:r>
        <w:t>8. 8. Cunningham FG, Leveno KJ, Bloom SL, Dashe JS, Hoffman BL, Casey BM, et al. Williams. Obstetricia. 25.ª ed. México: McGraw-Hill Interamericana; 2019.</w:t>
      </w:r>
    </w:p>
    <w:p>
      <w:r>
        <w:t>9. 9. Moreno-Altamirano A, López-Moreno S, Corcho-Berdugo A. Principales medidas en epidemiología. Salud Publica Mex. 2000;42(4):337-48.</w:t>
      </w:r>
    </w:p>
    <w:p>
      <w:r>
        <w:t>10. 10. Gorostidi M, Santamaría R, Alcázar R, Fernández-Fresnedo G, Galcerán JM, Goicoechea M, et al. Documento de la Sociedad Española de Nefrología sobre las guías KDIGO para la evaluación y el tratamiento de la enfermedad renal crónica. Nefrologia. 2014;34(3):302-16.</w:t>
      </w:r>
    </w:p>
    <w:p>
      <w:r>
        <w:t>11. 11. Sadock BJ, Sadock VA, Ruiz P. Kaplan &amp; Sadock. Sinopsis de psiquiatría. 11.ª ed. Barcelona: Wolters Kluwer; 2015.</w:t>
      </w:r>
    </w:p>
    <w:p>
      <w:r>
        <w:t>12. ENARM Master (simulador en línea). Exámenes de simulación 21–22 de septiembre de 2026. Registro propio del Dr. D. N. Kuri González.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