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ENARM — Datos de respuesta exacta</w:t>
      </w:r>
    </w:p>
    <w:p>
      <w:r>
        <w:rPr>
          <w:rFonts w:ascii="Arial" w:hAnsi="Arial"/>
          <w:sz w:val="24"/>
        </w:rPr>
        <w:t>Selección final del Dr. Demian Nacim Kuri González. 126 datos (de 155 revisados; ENARM Master 21–22/09/2026). Formato: pregunta → respuesta. Numeración por especialidad desde 1.</w:t>
      </w:r>
    </w:p>
    <w:p>
      <w:pPr>
        <w:pStyle w:val="Heading1"/>
      </w:pPr>
      <w:r>
        <w:rPr>
          <w:rFonts w:ascii="Arial" w:hAnsi="Arial"/>
        </w:rPr>
        <w:t>Contenido por materia</w:t>
      </w:r>
    </w:p>
    <w:p>
      <w:r>
        <w:rPr>
          <w:rFonts w:ascii="Arial" w:hAnsi="Arial"/>
          <w:sz w:val="24"/>
        </w:rPr>
        <w:t>Cardiología: 5 datos</w:t>
      </w:r>
    </w:p>
    <w:p>
      <w:r>
        <w:rPr>
          <w:rFonts w:ascii="Arial" w:hAnsi="Arial"/>
          <w:sz w:val="24"/>
        </w:rPr>
        <w:t>Cirugía: 3 datos</w:t>
      </w:r>
    </w:p>
    <w:p>
      <w:r>
        <w:rPr>
          <w:rFonts w:ascii="Arial" w:hAnsi="Arial"/>
          <w:sz w:val="24"/>
        </w:rPr>
        <w:t>Dermatología: 2 datos</w:t>
      </w:r>
    </w:p>
    <w:p>
      <w:r>
        <w:rPr>
          <w:rFonts w:ascii="Arial" w:hAnsi="Arial"/>
          <w:sz w:val="24"/>
        </w:rPr>
        <w:t>Endocrinología: 5 datos</w:t>
      </w:r>
    </w:p>
    <w:p>
      <w:r>
        <w:rPr>
          <w:rFonts w:ascii="Arial" w:hAnsi="Arial"/>
          <w:sz w:val="24"/>
        </w:rPr>
        <w:t>Farmacología: 2 datos</w:t>
      </w:r>
    </w:p>
    <w:p>
      <w:r>
        <w:rPr>
          <w:rFonts w:ascii="Arial" w:hAnsi="Arial"/>
          <w:sz w:val="24"/>
        </w:rPr>
        <w:t>Gastroenterología: 4 datos</w:t>
      </w:r>
    </w:p>
    <w:p>
      <w:r>
        <w:rPr>
          <w:rFonts w:ascii="Arial" w:hAnsi="Arial"/>
          <w:sz w:val="24"/>
        </w:rPr>
        <w:t>Geriatría: 2 datos</w:t>
      </w:r>
    </w:p>
    <w:p>
      <w:r>
        <w:rPr>
          <w:rFonts w:ascii="Arial" w:hAnsi="Arial"/>
          <w:sz w:val="24"/>
        </w:rPr>
        <w:t>Gineco-Obstetricia: 40 datos</w:t>
      </w:r>
    </w:p>
    <w:p>
      <w:r>
        <w:rPr>
          <w:rFonts w:ascii="Arial" w:hAnsi="Arial"/>
          <w:sz w:val="24"/>
        </w:rPr>
        <w:t>Infectología: 14 datos</w:t>
      </w:r>
    </w:p>
    <w:p>
      <w:r>
        <w:rPr>
          <w:rFonts w:ascii="Arial" w:hAnsi="Arial"/>
          <w:sz w:val="24"/>
        </w:rPr>
        <w:t>Medicina Interna y Urgencias: 4 datos</w:t>
      </w:r>
    </w:p>
    <w:p>
      <w:r>
        <w:rPr>
          <w:rFonts w:ascii="Arial" w:hAnsi="Arial"/>
          <w:sz w:val="24"/>
        </w:rPr>
        <w:t>Nefrología: 6 datos</w:t>
      </w:r>
    </w:p>
    <w:p>
      <w:r>
        <w:rPr>
          <w:rFonts w:ascii="Arial" w:hAnsi="Arial"/>
          <w:sz w:val="24"/>
        </w:rPr>
        <w:t>Neurología: 1 datos</w:t>
      </w:r>
    </w:p>
    <w:p>
      <w:r>
        <w:rPr>
          <w:rFonts w:ascii="Arial" w:hAnsi="Arial"/>
          <w:sz w:val="24"/>
        </w:rPr>
        <w:t>Neurología y Psiquiatría: 3 datos</w:t>
      </w:r>
    </w:p>
    <w:p>
      <w:r>
        <w:rPr>
          <w:rFonts w:ascii="Arial" w:hAnsi="Arial"/>
          <w:sz w:val="24"/>
        </w:rPr>
        <w:t>Oftalmología: 5 datos</w:t>
      </w:r>
    </w:p>
    <w:p>
      <w:r>
        <w:rPr>
          <w:rFonts w:ascii="Arial" w:hAnsi="Arial"/>
          <w:sz w:val="24"/>
        </w:rPr>
        <w:t>Oncología y Hematología: 7 datos</w:t>
      </w:r>
    </w:p>
    <w:p>
      <w:r>
        <w:rPr>
          <w:rFonts w:ascii="Arial" w:hAnsi="Arial"/>
          <w:sz w:val="24"/>
        </w:rPr>
        <w:t>Otorrinolaringología: 1 datos</w:t>
      </w:r>
    </w:p>
    <w:p>
      <w:r>
        <w:rPr>
          <w:rFonts w:ascii="Arial" w:hAnsi="Arial"/>
          <w:sz w:val="24"/>
        </w:rPr>
        <w:t>Pediatría y Neonatología: 8 datos</w:t>
      </w:r>
    </w:p>
    <w:p>
      <w:r>
        <w:rPr>
          <w:rFonts w:ascii="Arial" w:hAnsi="Arial"/>
          <w:sz w:val="24"/>
        </w:rPr>
        <w:t>Salud Pública y Epidemiología: 6 datos</w:t>
      </w:r>
    </w:p>
    <w:p>
      <w:r>
        <w:rPr>
          <w:rFonts w:ascii="Arial" w:hAnsi="Arial"/>
          <w:sz w:val="24"/>
        </w:rPr>
        <w:t>Traumatología: 3 datos</w:t>
      </w:r>
    </w:p>
    <w:p>
      <w:r>
        <w:rPr>
          <w:rFonts w:ascii="Arial" w:hAnsi="Arial"/>
          <w:sz w:val="24"/>
        </w:rPr>
        <w:t>Urología: 5 datos</w:t>
      </w:r>
    </w:p>
    <w:p>
      <w:r>
        <w:rPr>
          <w:rFonts w:ascii="Arial" w:hAnsi="Arial"/>
          <w:sz w:val="24"/>
        </w:rPr>
        <w:t>Total: 126 datos</w:t>
      </w:r>
    </w:p>
    <w:p>
      <w:pPr>
        <w:pStyle w:val="Heading1"/>
      </w:pPr>
      <w:r>
        <w:rPr>
          <w:rFonts w:ascii="Arial" w:hAnsi="Arial"/>
        </w:rPr>
        <w:t>Cardiología</w:t>
      </w:r>
    </w:p>
    <w:p>
      <w:r>
        <w:rPr>
          <w:rFonts w:ascii="Arial" w:hAnsi="Arial"/>
          <w:sz w:val="24"/>
        </w:rPr>
        <w:t>1. ¿Cuáles son los criterios electrocardiográficos de preexcitación tipo Wolff-Parkinson-White (WPW)?</w:t>
      </w:r>
    </w:p>
    <w:p>
      <w:r>
        <w:rPr>
          <w:rFonts w:ascii="Arial" w:hAnsi="Arial"/>
          <w:sz w:val="24"/>
        </w:rPr>
        <w:t>→ PR corto (&lt; 120 ms), onda delta y QRS ensanchado.</w:t>
      </w:r>
    </w:p>
    <w:p>
      <w:r>
        <w:rPr>
          <w:rFonts w:ascii="Arial" w:hAnsi="Arial"/>
          <w:sz w:val="24"/>
        </w:rPr>
        <w:t>2. ¿Qué cardiopatía congénita se sospecha ante hipertensión arterial en miembros superiores con pulsos femorales disminuidos o ausentes en un adolescente?</w:t>
      </w:r>
    </w:p>
    <w:p>
      <w:r>
        <w:rPr>
          <w:rFonts w:ascii="Arial" w:hAnsi="Arial"/>
          <w:sz w:val="24"/>
        </w:rPr>
        <w:t>→ Coartación aórtica.</w:t>
      </w:r>
    </w:p>
    <w:p>
      <w:r>
        <w:rPr>
          <w:rFonts w:ascii="Arial" w:hAnsi="Arial"/>
          <w:sz w:val="24"/>
        </w:rPr>
        <w:t>3. ¿El tratamiento más adecuado es?</w:t>
      </w:r>
    </w:p>
    <w:p>
      <w:r>
        <w:rPr>
          <w:rFonts w:ascii="Arial" w:hAnsi="Arial"/>
          <w:sz w:val="24"/>
        </w:rPr>
        <w:t>→ Anticuerpos anti digital</w:t>
      </w:r>
    </w:p>
    <w:p>
      <w:r>
        <w:rPr>
          <w:rFonts w:ascii="Arial" w:hAnsi="Arial"/>
          <w:sz w:val="24"/>
        </w:rPr>
        <w:t>4. ¿Cuáles son los ritmos desfibrilables en un paciente con paro cardiaco?</w:t>
      </w:r>
    </w:p>
    <w:p>
      <w:r>
        <w:rPr>
          <w:rFonts w:ascii="Arial" w:hAnsi="Arial"/>
          <w:sz w:val="24"/>
        </w:rPr>
        <w:t>→ Fibrilación ventricular y taquicardia ventricular sin pulso</w:t>
      </w:r>
    </w:p>
    <w:p>
      <w:r>
        <w:rPr>
          <w:rFonts w:ascii="Arial" w:hAnsi="Arial"/>
          <w:sz w:val="24"/>
        </w:rPr>
        <w:t>5. Con un puntaje TIMI de 4 puntos, ¿cuál es la probabilidad de presentar eventos adversos como infarto al miocardio nuevo o necesidad de revascularización?</w:t>
      </w:r>
    </w:p>
    <w:p>
      <w:r>
        <w:rPr>
          <w:rFonts w:ascii="Arial" w:hAnsi="Arial"/>
          <w:sz w:val="24"/>
        </w:rPr>
        <w:t>→ 19.9%</w:t>
      </w:r>
    </w:p>
    <w:p>
      <w:pPr>
        <w:pStyle w:val="Heading1"/>
      </w:pPr>
      <w:r>
        <w:rPr>
          <w:rFonts w:ascii="Arial" w:hAnsi="Arial"/>
        </w:rPr>
        <w:t>Cirugía</w:t>
      </w:r>
    </w:p>
    <w:p>
      <w:r>
        <w:rPr>
          <w:rFonts w:ascii="Arial" w:hAnsi="Arial"/>
          <w:sz w:val="24"/>
        </w:rPr>
        <w:t>1. ¿Cuál es la causa más frecuente de isquemia mesentérica aguda?</w:t>
      </w:r>
    </w:p>
    <w:p>
      <w:r>
        <w:rPr>
          <w:rFonts w:ascii="Arial" w:hAnsi="Arial"/>
          <w:sz w:val="24"/>
        </w:rPr>
        <w:t>→ Embolia de la arteria mesentérica superior (de origen cardiaco).</w:t>
      </w:r>
    </w:p>
    <w:p>
      <w:r>
        <w:rPr>
          <w:rFonts w:ascii="Arial" w:hAnsi="Arial"/>
          <w:sz w:val="24"/>
        </w:rPr>
        <w:t>2. ¿Cuál es la complicación más frecuente del neumotórax espontáneo?</w:t>
      </w:r>
    </w:p>
    <w:p>
      <w:r>
        <w:rPr>
          <w:rFonts w:ascii="Arial" w:hAnsi="Arial"/>
          <w:sz w:val="24"/>
        </w:rPr>
        <w:t>→ La recurrencia.</w:t>
      </w:r>
    </w:p>
    <w:p>
      <w:r>
        <w:rPr>
          <w:rFonts w:ascii="Arial" w:hAnsi="Arial"/>
          <w:sz w:val="24"/>
        </w:rPr>
        <w:t>3. ¿Cuál es el tipo más frecuente de absceso anorrectal?</w:t>
      </w:r>
    </w:p>
    <w:p>
      <w:r>
        <w:rPr>
          <w:rFonts w:ascii="Arial" w:hAnsi="Arial"/>
          <w:sz w:val="24"/>
        </w:rPr>
        <w:t>→ Perianal.</w:t>
      </w:r>
    </w:p>
    <w:p>
      <w:pPr>
        <w:pStyle w:val="Heading1"/>
      </w:pPr>
      <w:r>
        <w:rPr>
          <w:rFonts w:ascii="Arial" w:hAnsi="Arial"/>
        </w:rPr>
        <w:t>Dermatología</w:t>
      </w:r>
    </w:p>
    <w:p>
      <w:r>
        <w:rPr>
          <w:rFonts w:ascii="Arial" w:hAnsi="Arial"/>
          <w:sz w:val="24"/>
        </w:rPr>
        <w:t>1. ¿Cuál es la localización más común de la necrobiosis lipoídica?</w:t>
      </w:r>
    </w:p>
    <w:p>
      <w:r>
        <w:rPr>
          <w:rFonts w:ascii="Arial" w:hAnsi="Arial"/>
          <w:sz w:val="24"/>
        </w:rPr>
        <w:t>→ Región pretibial (cara anterior de las piernas); se asocia a diabetes mellitus.</w:t>
      </w:r>
    </w:p>
    <w:p>
      <w:r>
        <w:rPr>
          <w:rFonts w:ascii="Arial" w:hAnsi="Arial"/>
          <w:sz w:val="24"/>
        </w:rPr>
        <w:t>2. ¿Cuál de las siguientes es una prueba diagnóstica útil en su sospecha diagnóstica?</w:t>
      </w:r>
    </w:p>
    <w:p>
      <w:r>
        <w:rPr>
          <w:rFonts w:ascii="Arial" w:hAnsi="Arial"/>
          <w:sz w:val="24"/>
        </w:rPr>
        <w:t>→ Biopsia de piel</w:t>
      </w:r>
    </w:p>
    <w:p>
      <w:pPr>
        <w:pStyle w:val="Heading1"/>
      </w:pPr>
      <w:r>
        <w:rPr>
          <w:rFonts w:ascii="Arial" w:hAnsi="Arial"/>
        </w:rPr>
        <w:t>Endocrinología</w:t>
      </w:r>
    </w:p>
    <w:p>
      <w:r>
        <w:rPr>
          <w:rFonts w:ascii="Arial" w:hAnsi="Arial"/>
          <w:sz w:val="24"/>
        </w:rPr>
        <w:t>1. ¿En qué cromosoma se encuentra el gen que codifica la prolactina?</w:t>
      </w:r>
    </w:p>
    <w:p>
      <w:r>
        <w:rPr>
          <w:rFonts w:ascii="Arial" w:hAnsi="Arial"/>
          <w:sz w:val="24"/>
        </w:rPr>
        <w:t>→ Cromosoma 6 (6p22).</w:t>
      </w:r>
    </w:p>
    <w:p>
      <w:r>
        <w:rPr>
          <w:rFonts w:ascii="Arial" w:hAnsi="Arial"/>
          <w:sz w:val="24"/>
        </w:rPr>
        <w:t>2. ¿Cuál de las siguientes lipoproteínas se considera la más directamente relacionada con el desarrollo de aterosclerosis por contener apolipoproteína B y tener capacidad de depositarse en la pared arterial?</w:t>
      </w:r>
    </w:p>
    <w:p>
      <w:r>
        <w:rPr>
          <w:rFonts w:ascii="Arial" w:hAnsi="Arial"/>
          <w:sz w:val="24"/>
        </w:rPr>
        <w:t>→ LDL</w:t>
      </w:r>
    </w:p>
    <w:p>
      <w:r>
        <w:rPr>
          <w:rFonts w:ascii="Arial" w:hAnsi="Arial"/>
          <w:sz w:val="24"/>
        </w:rPr>
        <w:t>3. ¿Cuál de las siguientes opciones podria ser reportada por el estudio previo?</w:t>
      </w:r>
    </w:p>
    <w:p>
      <w:r>
        <w:rPr>
          <w:rFonts w:ascii="Arial" w:hAnsi="Arial"/>
          <w:sz w:val="24"/>
        </w:rPr>
        <w:t>→ Nodulo hipercaptante</w:t>
      </w:r>
    </w:p>
    <w:p>
      <w:r>
        <w:rPr>
          <w:rFonts w:ascii="Arial" w:hAnsi="Arial"/>
          <w:sz w:val="24"/>
        </w:rPr>
        <w:t>4. Al recibir este tratamiento, ¿Cúal es una de las complicaciones o efectos adversos de mayor cuidado y que se debe de vigilar y prevenir durante el mismo?</w:t>
      </w:r>
    </w:p>
    <w:p>
      <w:r>
        <w:rPr>
          <w:rFonts w:ascii="Arial" w:hAnsi="Arial"/>
          <w:sz w:val="24"/>
        </w:rPr>
        <w:t>→ Agranulocitosis</w:t>
      </w:r>
    </w:p>
    <w:p>
      <w:r>
        <w:rPr>
          <w:rFonts w:ascii="Arial" w:hAnsi="Arial"/>
          <w:sz w:val="24"/>
        </w:rPr>
        <w:t>5. ¿Qué cantidad de excreción de yodo se considera excesiva en la mujer embarazada?</w:t>
      </w:r>
    </w:p>
    <w:p>
      <w:r>
        <w:rPr>
          <w:rFonts w:ascii="Arial" w:hAnsi="Arial"/>
          <w:sz w:val="24"/>
        </w:rPr>
        <w:t>→ &gt; 500 ug/L</w:t>
      </w:r>
    </w:p>
    <w:p>
      <w:pPr>
        <w:pStyle w:val="Heading1"/>
      </w:pPr>
      <w:r>
        <w:rPr>
          <w:rFonts w:ascii="Arial" w:hAnsi="Arial"/>
        </w:rPr>
        <w:t>Farmacología</w:t>
      </w:r>
    </w:p>
    <w:p>
      <w:r>
        <w:rPr>
          <w:rFonts w:ascii="Arial" w:hAnsi="Arial"/>
          <w:sz w:val="24"/>
        </w:rPr>
        <w:t>1. ¿Cuál es la dosis de famotidina como protector de la mucosa gástrica?</w:t>
      </w:r>
    </w:p>
    <w:p>
      <w:r>
        <w:rPr>
          <w:rFonts w:ascii="Arial" w:hAnsi="Arial"/>
          <w:sz w:val="24"/>
        </w:rPr>
        <w:t>→ 40 mg/día (20 mg cada 12 horas o 40 mg por la noche).</w:t>
      </w:r>
    </w:p>
    <w:p>
      <w:r>
        <w:rPr>
          <w:rFonts w:ascii="Arial" w:hAnsi="Arial"/>
          <w:sz w:val="24"/>
        </w:rPr>
        <w:t>2. ¿Cuál es la contraindicación absoluta del etretinato y de su sucesor, la acitretina?</w:t>
      </w:r>
    </w:p>
    <w:p>
      <w:r>
        <w:rPr>
          <w:rFonts w:ascii="Arial" w:hAnsi="Arial"/>
          <w:sz w:val="24"/>
        </w:rPr>
        <w:t>→ Embarazo (teratógeno; se exige anticoncepción prolongada tras suspenderlo).</w:t>
      </w:r>
    </w:p>
    <w:p>
      <w:pPr>
        <w:pStyle w:val="Heading1"/>
      </w:pPr>
      <w:r>
        <w:rPr>
          <w:rFonts w:ascii="Arial" w:hAnsi="Arial"/>
        </w:rPr>
        <w:t>Gastroenterología</w:t>
      </w:r>
    </w:p>
    <w:p>
      <w:r>
        <w:rPr>
          <w:rFonts w:ascii="Arial" w:hAnsi="Arial"/>
          <w:sz w:val="24"/>
        </w:rPr>
        <w:t>1. ¿Cuál es el principal factor asociado a falta de cicatrización de la úlcera péptica?</w:t>
      </w:r>
    </w:p>
    <w:p>
      <w:r>
        <w:rPr>
          <w:rFonts w:ascii="Arial" w:hAnsi="Arial"/>
          <w:sz w:val="24"/>
        </w:rPr>
        <w:t>→ Tabaquismo.</w:t>
      </w:r>
    </w:p>
    <w:p>
      <w:r>
        <w:rPr>
          <w:rFonts w:ascii="Arial" w:hAnsi="Arial"/>
          <w:sz w:val="24"/>
        </w:rPr>
        <w:t>2. Según la definición de la GPC, cuánto es el tiempo de evolución para que se considera una diarrea como aguda?</w:t>
      </w:r>
    </w:p>
    <w:p>
      <w:r>
        <w:rPr>
          <w:rFonts w:ascii="Arial" w:hAnsi="Arial"/>
          <w:sz w:val="24"/>
        </w:rPr>
        <w:t>→ ‹14 días</w:t>
      </w:r>
    </w:p>
    <w:p>
      <w:r>
        <w:rPr>
          <w:rFonts w:ascii="Arial" w:hAnsi="Arial"/>
          <w:sz w:val="24"/>
        </w:rPr>
        <w:t>3. ¿Qué fracción del gluten es la responsable de la reacción de sensibilidad en la enfermedad celiaca?</w:t>
      </w:r>
    </w:p>
    <w:p>
      <w:r>
        <w:rPr>
          <w:rFonts w:ascii="Arial" w:hAnsi="Arial"/>
          <w:sz w:val="24"/>
        </w:rPr>
        <w:t>→ Gliadina</w:t>
      </w:r>
    </w:p>
    <w:p>
      <w:r>
        <w:rPr>
          <w:rFonts w:ascii="Arial" w:hAnsi="Arial"/>
          <w:sz w:val="24"/>
        </w:rPr>
        <w:t>4. ¿Cuál es el estudio diagnostico confirmatorio de enfermedad celiaca?</w:t>
      </w:r>
    </w:p>
    <w:p>
      <w:r>
        <w:rPr>
          <w:rFonts w:ascii="Arial" w:hAnsi="Arial"/>
          <w:sz w:val="24"/>
        </w:rPr>
        <w:t>→ Biopsia intestinal</w:t>
      </w:r>
    </w:p>
    <w:p>
      <w:pPr>
        <w:pStyle w:val="Heading1"/>
      </w:pPr>
      <w:r>
        <w:rPr>
          <w:rFonts w:ascii="Arial" w:hAnsi="Arial"/>
        </w:rPr>
        <w:t>Geriatría</w:t>
      </w:r>
    </w:p>
    <w:p>
      <w:r>
        <w:rPr>
          <w:rFonts w:ascii="Arial" w:hAnsi="Arial"/>
          <w:sz w:val="24"/>
        </w:rPr>
        <w:t>1. ¿Cuál es la ingesta diaria recomendada de proteínas para adultos mayores?</w:t>
      </w:r>
    </w:p>
    <w:p>
      <w:r>
        <w:rPr>
          <w:rFonts w:ascii="Arial" w:hAnsi="Arial"/>
          <w:sz w:val="24"/>
        </w:rPr>
        <w:t>→ 1.0 – 1.2 g/kg de peso corporal.</w:t>
      </w:r>
    </w:p>
    <w:p>
      <w:r>
        <w:rPr>
          <w:rFonts w:ascii="Arial" w:hAnsi="Arial"/>
          <w:sz w:val="24"/>
        </w:rPr>
        <w:t>2. ¿Qué nivel de IMC se considera normal para un adulto mayor?</w:t>
      </w:r>
    </w:p>
    <w:p>
      <w:r>
        <w:rPr>
          <w:rFonts w:ascii="Arial" w:hAnsi="Arial"/>
          <w:sz w:val="24"/>
        </w:rPr>
        <w:t>→ 23.0 – 27.9.</w:t>
      </w:r>
    </w:p>
    <w:p>
      <w:pPr>
        <w:pStyle w:val="Heading1"/>
      </w:pPr>
      <w:r>
        <w:rPr>
          <w:rFonts w:ascii="Arial" w:hAnsi="Arial"/>
        </w:rPr>
        <w:t>Gineco-Obstetricia</w:t>
      </w:r>
    </w:p>
    <w:p>
      <w:r>
        <w:rPr>
          <w:rFonts w:ascii="Arial" w:hAnsi="Arial"/>
          <w:sz w:val="24"/>
        </w:rPr>
        <w:t>1. ¿Cuál es un marcador ultrasonográfico del segundo trimestre asociado a trisomía 21?</w:t>
      </w:r>
    </w:p>
    <w:p>
      <w:r>
        <w:rPr>
          <w:rFonts w:ascii="Arial" w:hAnsi="Arial"/>
          <w:sz w:val="24"/>
        </w:rPr>
        <w:t>→ Fémur corto (&lt; percentil 5). El marcador aislado de mayor peso es el pliegue nucal engrosado.</w:t>
      </w:r>
    </w:p>
    <w:p>
      <w:r>
        <w:rPr>
          <w:rFonts w:ascii="Arial" w:hAnsi="Arial"/>
          <w:sz w:val="24"/>
        </w:rPr>
        <w:t>2. ¿Qué dosis de ácido fólico se indica en la mujer con diabetes pregestacional?</w:t>
      </w:r>
    </w:p>
    <w:p>
      <w:r>
        <w:rPr>
          <w:rFonts w:ascii="Arial" w:hAnsi="Arial"/>
          <w:sz w:val="24"/>
        </w:rPr>
        <w:t>→ 5 mg/día, idealmente desde antes de la concepción y hasta la semana 12.</w:t>
      </w:r>
    </w:p>
    <w:p>
      <w:r>
        <w:rPr>
          <w:rFonts w:ascii="Arial" w:hAnsi="Arial"/>
          <w:sz w:val="24"/>
        </w:rPr>
        <w:t>3. ¿Cuál es el fármaco de elección para las convulsiones de la eclampsia?</w:t>
      </w:r>
    </w:p>
    <w:p>
      <w:r>
        <w:rPr>
          <w:rFonts w:ascii="Arial" w:hAnsi="Arial"/>
          <w:sz w:val="24"/>
        </w:rPr>
        <w:t>→ Sulfato de magnesio.</w:t>
      </w:r>
    </w:p>
    <w:p>
      <w:r>
        <w:rPr>
          <w:rFonts w:ascii="Arial" w:hAnsi="Arial"/>
          <w:sz w:val="24"/>
        </w:rPr>
        <w:t>4. ¿En qué semanas de gestación es óptimo aplicar la vacuna Tdpa?</w:t>
      </w:r>
    </w:p>
    <w:p>
      <w:r>
        <w:rPr>
          <w:rFonts w:ascii="Arial" w:hAnsi="Arial"/>
          <w:sz w:val="24"/>
        </w:rPr>
        <w:t>→ Semanas 27 a 36, en cada embarazo (en México se aplica a partir de la semana 20).</w:t>
      </w:r>
    </w:p>
    <w:p>
      <w:r>
        <w:rPr>
          <w:rFonts w:ascii="Arial" w:hAnsi="Arial"/>
          <w:sz w:val="24"/>
        </w:rPr>
        <w:t>5. ¿Cómo se define la hipertensión en el embarazo?</w:t>
      </w:r>
    </w:p>
    <w:p>
      <w:r>
        <w:rPr>
          <w:rFonts w:ascii="Arial" w:hAnsi="Arial"/>
          <w:sz w:val="24"/>
        </w:rPr>
        <w:t>→ Presión sistólica ≥ 140 mmHg y/o diastólica ≥ 90 mmHg, en dos tomas separadas por al menos 4 horas.</w:t>
      </w:r>
    </w:p>
    <w:p>
      <w:r>
        <w:rPr>
          <w:rFonts w:ascii="Arial" w:hAnsi="Arial"/>
          <w:sz w:val="24"/>
        </w:rPr>
        <w:t>6. ¿Cuál es el tratamiento de elección si se confirma anemia fetal severa antes de las 32 semanas?</w:t>
      </w:r>
    </w:p>
    <w:p>
      <w:r>
        <w:rPr>
          <w:rFonts w:ascii="Arial" w:hAnsi="Arial"/>
          <w:sz w:val="24"/>
        </w:rPr>
        <w:t>→ Transfusión intrauterina por cordocentesis.</w:t>
      </w:r>
    </w:p>
    <w:p>
      <w:r>
        <w:rPr>
          <w:rFonts w:ascii="Arial" w:hAnsi="Arial"/>
          <w:sz w:val="24"/>
        </w:rPr>
        <w:t>7. ¿Con qué frecuencia se ausculta la frecuencia cardiaca fetal durante el trabajo de parto en embarazo de bajo riesgo?</w:t>
      </w:r>
    </w:p>
    <w:p>
      <w:r>
        <w:rPr>
          <w:rFonts w:ascii="Arial" w:hAnsi="Arial"/>
          <w:sz w:val="24"/>
        </w:rPr>
        <w:t>→ Cada 30 minutos en el primer periodo (fase activa) y cada 15 minutos en el segundo periodo.</w:t>
      </w:r>
    </w:p>
    <w:p>
      <w:r>
        <w:rPr>
          <w:rFonts w:ascii="Arial" w:hAnsi="Arial"/>
          <w:sz w:val="24"/>
        </w:rPr>
        <w:t>8. ¿Qué ocurre con la tasa de filtración glomerular durante el embarazo normal?</w:t>
      </w:r>
    </w:p>
    <w:p>
      <w:r>
        <w:rPr>
          <w:rFonts w:ascii="Arial" w:hAnsi="Arial"/>
          <w:sz w:val="24"/>
        </w:rPr>
        <w:t>→ Aumenta alrededor de 50 %.</w:t>
      </w:r>
    </w:p>
    <w:p>
      <w:r>
        <w:rPr>
          <w:rFonts w:ascii="Arial" w:hAnsi="Arial"/>
          <w:sz w:val="24"/>
        </w:rPr>
        <w:t>9. ¿Cuál es la indicación clásica por edad materna para ofrecer amniocentesis con cariotipo fetal?</w:t>
      </w:r>
    </w:p>
    <w:p>
      <w:r>
        <w:rPr>
          <w:rFonts w:ascii="Arial" w:hAnsi="Arial"/>
          <w:sz w:val="24"/>
        </w:rPr>
        <w:t>→ Edad materna ≥ 35 años.</w:t>
      </w:r>
    </w:p>
    <w:p>
      <w:r>
        <w:rPr>
          <w:rFonts w:ascii="Arial" w:hAnsi="Arial"/>
          <w:sz w:val="24"/>
        </w:rPr>
        <w:t>10. ¿Cuál es el mejor predictor de parto pretérmino?</w:t>
      </w:r>
    </w:p>
    <w:p>
      <w:r>
        <w:rPr>
          <w:rFonts w:ascii="Arial" w:hAnsi="Arial"/>
          <w:sz w:val="24"/>
        </w:rPr>
        <w:t>→ Longitud cervical medida por ecografía transvaginal.</w:t>
      </w:r>
    </w:p>
    <w:p>
      <w:r>
        <w:rPr>
          <w:rFonts w:ascii="Arial" w:hAnsi="Arial"/>
          <w:sz w:val="24"/>
        </w:rPr>
        <w:t>11. ¿Cuál sería el manejo quirúrgico recomendado según la GPC?</w:t>
      </w:r>
    </w:p>
    <w:p>
      <w:r>
        <w:rPr>
          <w:rFonts w:ascii="Arial" w:hAnsi="Arial"/>
          <w:sz w:val="24"/>
        </w:rPr>
        <w:t>→ Cierre secundario del esfínter anal bajo anestesia regional o general</w:t>
      </w:r>
    </w:p>
    <w:p>
      <w:r>
        <w:rPr>
          <w:rFonts w:ascii="Arial" w:hAnsi="Arial"/>
          <w:sz w:val="24"/>
        </w:rPr>
        <w:t>12. ¿Cuál es la indicación del uso de platinos en pacientes con cáncer de endometrio?</w:t>
      </w:r>
    </w:p>
    <w:p>
      <w:r>
        <w:rPr>
          <w:rFonts w:ascii="Arial" w:hAnsi="Arial"/>
          <w:sz w:val="24"/>
        </w:rPr>
        <w:t>→ Estadio I de alto riesgo</w:t>
      </w:r>
    </w:p>
    <w:p>
      <w:r>
        <w:rPr>
          <w:rFonts w:ascii="Arial" w:hAnsi="Arial"/>
          <w:sz w:val="24"/>
        </w:rPr>
        <w:t>13. ¿Cuál es el tratamiento de elección?</w:t>
      </w:r>
    </w:p>
    <w:p>
      <w:r>
        <w:rPr>
          <w:rFonts w:ascii="Arial" w:hAnsi="Arial"/>
          <w:sz w:val="24"/>
        </w:rPr>
        <w:t>→ Aspiración mecánica endouterina</w:t>
      </w:r>
    </w:p>
    <w:p>
      <w:r>
        <w:rPr>
          <w:rFonts w:ascii="Arial" w:hAnsi="Arial"/>
          <w:sz w:val="24"/>
        </w:rPr>
        <w:t>14. ¿Cuál quimioterapéutico está indicado en paciente con mola hidatiforme para evitar el riesgo de neoplasia trofoblástica?</w:t>
      </w:r>
    </w:p>
    <w:p>
      <w:r>
        <w:rPr>
          <w:rFonts w:ascii="Arial" w:hAnsi="Arial"/>
          <w:sz w:val="24"/>
        </w:rPr>
        <w:t>→ Actinomicina</w:t>
      </w:r>
    </w:p>
    <w:p>
      <w:r>
        <w:rPr>
          <w:rFonts w:ascii="Arial" w:hAnsi="Arial"/>
          <w:sz w:val="24"/>
        </w:rPr>
        <w:t>15. Se realiza rastreo y se encuentra FCF de 110 lpm. ¿Cuál es su diagnóstico hasta ahora?</w:t>
      </w:r>
    </w:p>
    <w:p>
      <w:r>
        <w:rPr>
          <w:rFonts w:ascii="Arial" w:hAnsi="Arial"/>
          <w:sz w:val="24"/>
        </w:rPr>
        <w:t>→ Embarazo viable</w:t>
      </w:r>
    </w:p>
    <w:p>
      <w:r>
        <w:rPr>
          <w:rFonts w:ascii="Arial" w:hAnsi="Arial"/>
          <w:sz w:val="24"/>
        </w:rPr>
        <w:t>16. ¿Cuál de las siguientes afirmaciones sobre la clasificación histológica del carcinoma endometrial es correcta según la OMS 2020?</w:t>
      </w:r>
    </w:p>
    <w:p>
      <w:r>
        <w:rPr>
          <w:rFonts w:ascii="Arial" w:hAnsi="Arial"/>
          <w:sz w:val="24"/>
        </w:rPr>
        <w:t>→ La clasificación por grados depende del componente sólido en carcinomas endometrioides</w:t>
      </w:r>
    </w:p>
    <w:p>
      <w:r>
        <w:rPr>
          <w:rFonts w:ascii="Arial" w:hAnsi="Arial"/>
          <w:sz w:val="24"/>
        </w:rPr>
        <w:t>17. What is the recommended approach for treating a Bartholin's gland cyst?</w:t>
      </w:r>
    </w:p>
    <w:p>
      <w:r>
        <w:rPr>
          <w:rFonts w:ascii="Arial" w:hAnsi="Arial"/>
          <w:sz w:val="24"/>
        </w:rPr>
        <w:t>→ Incision and drainage</w:t>
      </w:r>
    </w:p>
    <w:p>
      <w:r>
        <w:rPr>
          <w:rFonts w:ascii="Arial" w:hAnsi="Arial"/>
          <w:sz w:val="24"/>
        </w:rPr>
        <w:t>18. En una paciente con dolor vulvar crónico y sin hallazgos clínicos visibles, ¿cuál de las siguientes indicaciones sobre el uso de biopsia es correcta?</w:t>
      </w:r>
    </w:p>
    <w:p>
      <w:r>
        <w:rPr>
          <w:rFonts w:ascii="Arial" w:hAnsi="Arial"/>
          <w:sz w:val="24"/>
        </w:rPr>
        <w:t>→ Se recomienda solo cuando hay lesiones visibles para diagnóstico diferencial</w:t>
      </w:r>
    </w:p>
    <w:p>
      <w:r>
        <w:rPr>
          <w:rFonts w:ascii="Arial" w:hAnsi="Arial"/>
          <w:sz w:val="24"/>
        </w:rPr>
        <w:t>19. ¿A qué edad se debe de iniciar el tamizaje en pacientes con antecedentese Ca de mama en familiares de primer grado?</w:t>
      </w:r>
    </w:p>
    <w:p>
      <w:r>
        <w:rPr>
          <w:rFonts w:ascii="Arial" w:hAnsi="Arial"/>
          <w:sz w:val="24"/>
        </w:rPr>
        <w:t>→ 30 años</w:t>
      </w:r>
    </w:p>
    <w:p>
      <w:r>
        <w:rPr>
          <w:rFonts w:ascii="Arial" w:hAnsi="Arial"/>
          <w:sz w:val="24"/>
        </w:rPr>
        <w:t>20. ¿Cuál es la conducta más adecuada en relación con la vacuna triple viral administrada inadvertidamente durante el embarazo?</w:t>
      </w:r>
    </w:p>
    <w:p>
      <w:r>
        <w:rPr>
          <w:rFonts w:ascii="Arial" w:hAnsi="Arial"/>
          <w:sz w:val="24"/>
        </w:rPr>
        <w:t>→ Explicar que la vacuna no representa riesgo y continuar con el control prenatal habitual</w:t>
      </w:r>
    </w:p>
    <w:p>
      <w:r>
        <w:rPr>
          <w:rFonts w:ascii="Arial" w:hAnsi="Arial"/>
          <w:sz w:val="24"/>
        </w:rPr>
        <w:t>21. ¿Qué complicación materna es más frecuente en mujeres con diabetes gestacional mal controlada?</w:t>
      </w:r>
    </w:p>
    <w:p>
      <w:r>
        <w:rPr>
          <w:rFonts w:ascii="Arial" w:hAnsi="Arial"/>
          <w:sz w:val="24"/>
        </w:rPr>
        <w:t>→ Hipertensión gestacional</w:t>
      </w:r>
    </w:p>
    <w:p>
      <w:r>
        <w:rPr>
          <w:rFonts w:ascii="Arial" w:hAnsi="Arial"/>
          <w:sz w:val="24"/>
        </w:rPr>
        <w:t>22. ¿Cuál es el marcador biológico más comúnmente utilizado para el diagnóstico de endometriosis?</w:t>
      </w:r>
    </w:p>
    <w:p>
      <w:r>
        <w:rPr>
          <w:rFonts w:ascii="Arial" w:hAnsi="Arial"/>
          <w:sz w:val="24"/>
        </w:rPr>
        <w:t>→ CA-125</w:t>
      </w:r>
    </w:p>
    <w:p>
      <w:r>
        <w:rPr>
          <w:rFonts w:ascii="Arial" w:hAnsi="Arial"/>
          <w:sz w:val="24"/>
        </w:rPr>
        <w:t>23. El parto se asiste con fórceps, logrando el nacimiento de un recién nacido masculino, Apgar 6/9. Se observa líquido meconial en la vía aérea del neonato. ¿Cuál sería la conducta inmediata más adecuada?</w:t>
      </w:r>
    </w:p>
    <w:p>
      <w:r>
        <w:rPr>
          <w:rFonts w:ascii="Arial" w:hAnsi="Arial"/>
          <w:sz w:val="24"/>
        </w:rPr>
        <w:t>→ Estimulación del neonato sin realizar aspiración inicial</w:t>
      </w:r>
    </w:p>
    <w:p>
      <w:r>
        <w:rPr>
          <w:rFonts w:ascii="Arial" w:hAnsi="Arial"/>
          <w:sz w:val="24"/>
        </w:rPr>
        <w:t>24. Tras estabilizar al recién nacido, se observa que la madre presenta sangrado abundante. La exploración revela un útero contraído ¿Cuál es la causa más probable del sangrado?</w:t>
      </w:r>
    </w:p>
    <w:p>
      <w:r>
        <w:rPr>
          <w:rFonts w:ascii="Arial" w:hAnsi="Arial"/>
          <w:sz w:val="24"/>
        </w:rPr>
        <w:t>→ Desgarro del canal de parto</w:t>
      </w:r>
    </w:p>
    <w:p>
      <w:r>
        <w:rPr>
          <w:rFonts w:ascii="Arial" w:hAnsi="Arial"/>
          <w:sz w:val="24"/>
        </w:rPr>
        <w:t>25. Mediante ultrasonografía ¿Qué hallazgos usted esperaría detectar?</w:t>
      </w:r>
    </w:p>
    <w:p>
      <w:r>
        <w:rPr>
          <w:rFonts w:ascii="Arial" w:hAnsi="Arial"/>
          <w:sz w:val="24"/>
        </w:rPr>
        <w:t>→ Ovario aumentado de tamaño, hipoecogenico</w:t>
      </w:r>
    </w:p>
    <w:p>
      <w:r>
        <w:rPr>
          <w:rFonts w:ascii="Arial" w:hAnsi="Arial"/>
          <w:sz w:val="24"/>
        </w:rPr>
        <w:t>26. ¿Cuál de las siguientes opciones es correcta sobre el uso de técnicas perineales durante el segundo periodo del trabajo de parto?</w:t>
      </w:r>
    </w:p>
    <w:p>
      <w:r>
        <w:rPr>
          <w:rFonts w:ascii="Arial" w:hAnsi="Arial"/>
          <w:sz w:val="24"/>
        </w:rPr>
        <w:t>→ El masaje perineal se asocia con menor riesgo de desgarros de tercer y cuarto grado</w:t>
      </w:r>
    </w:p>
    <w:p>
      <w:r>
        <w:rPr>
          <w:rFonts w:ascii="Arial" w:hAnsi="Arial"/>
          <w:sz w:val="24"/>
        </w:rPr>
        <w:t>27. ¿Cuál es la interpretación correcta del VDRL?</w:t>
      </w:r>
    </w:p>
    <w:p>
      <w:r>
        <w:rPr>
          <w:rFonts w:ascii="Arial" w:hAnsi="Arial"/>
          <w:sz w:val="24"/>
        </w:rPr>
        <w:t>→ Sugiere sífilis activa</w:t>
      </w:r>
    </w:p>
    <w:p>
      <w:r>
        <w:rPr>
          <w:rFonts w:ascii="Arial" w:hAnsi="Arial"/>
          <w:sz w:val="24"/>
        </w:rPr>
        <w:t>28. ¿Cuál es el objetivo del seguimiento serológico?</w:t>
      </w:r>
    </w:p>
    <w:p>
      <w:r>
        <w:rPr>
          <w:rFonts w:ascii="Arial" w:hAnsi="Arial"/>
          <w:sz w:val="24"/>
        </w:rPr>
        <w:t>→ Documentar descenso de títulos</w:t>
      </w:r>
    </w:p>
    <w:p>
      <w:r>
        <w:rPr>
          <w:rFonts w:ascii="Arial" w:hAnsi="Arial"/>
          <w:sz w:val="24"/>
        </w:rPr>
        <w:t>29. ¿Cuál es la incidencia del aborto espontaneo?</w:t>
      </w:r>
    </w:p>
    <w:p>
      <w:r>
        <w:rPr>
          <w:rFonts w:ascii="Arial" w:hAnsi="Arial"/>
          <w:sz w:val="24"/>
        </w:rPr>
        <w:t>→ 50 a 70%</w:t>
      </w:r>
    </w:p>
    <w:p>
      <w:r>
        <w:rPr>
          <w:rFonts w:ascii="Arial" w:hAnsi="Arial"/>
          <w:sz w:val="24"/>
        </w:rPr>
        <w:t>30. ¿A qué edad existe más riesgo de aborto espontáneo?</w:t>
      </w:r>
    </w:p>
    <w:p>
      <w:r>
        <w:rPr>
          <w:rFonts w:ascii="Arial" w:hAnsi="Arial"/>
          <w:sz w:val="24"/>
        </w:rPr>
        <w:t>→ Después de los 40 años</w:t>
      </w:r>
    </w:p>
    <w:p>
      <w:r>
        <w:rPr>
          <w:rFonts w:ascii="Arial" w:hAnsi="Arial"/>
          <w:sz w:val="24"/>
        </w:rPr>
        <w:t>31. ¿Cuál de las siguientes es una complicación de la mola hidatiforme?</w:t>
      </w:r>
    </w:p>
    <w:p>
      <w:r>
        <w:rPr>
          <w:rFonts w:ascii="Arial" w:hAnsi="Arial"/>
          <w:sz w:val="24"/>
        </w:rPr>
        <w:t>→ Hipertiroidismo</w:t>
      </w:r>
    </w:p>
    <w:p>
      <w:r>
        <w:rPr>
          <w:rFonts w:ascii="Arial" w:hAnsi="Arial"/>
          <w:sz w:val="24"/>
        </w:rPr>
        <w:t>32. What is the recommended time frame for bone densitometry with a baseline T score of less than -1 standard deviation?</w:t>
      </w:r>
    </w:p>
    <w:p>
      <w:r>
        <w:rPr>
          <w:rFonts w:ascii="Arial" w:hAnsi="Arial"/>
          <w:sz w:val="24"/>
        </w:rPr>
        <w:t>→ Every 2 years</w:t>
      </w:r>
    </w:p>
    <w:p>
      <w:r>
        <w:rPr>
          <w:rFonts w:ascii="Arial" w:hAnsi="Arial"/>
          <w:sz w:val="24"/>
        </w:rPr>
        <w:t>33. ¿En qué momentos se indica la aplicación de inmunoglobulina anti-D?</w:t>
      </w:r>
    </w:p>
    <w:p>
      <w:r>
        <w:rPr>
          <w:rFonts w:ascii="Arial" w:hAnsi="Arial"/>
          <w:sz w:val="24"/>
        </w:rPr>
        <w:t>→ A las 28 semanas de gestación y al término del embarazo si RN Rh positivo</w:t>
      </w:r>
    </w:p>
    <w:p>
      <w:r>
        <w:rPr>
          <w:rFonts w:ascii="Arial" w:hAnsi="Arial"/>
          <w:sz w:val="24"/>
        </w:rPr>
        <w:t>34. ¿Cuál es otra indicación para aplicar inmunoglobulina anti-D en gestante Rh negativo?</w:t>
      </w:r>
    </w:p>
    <w:p>
      <w:r>
        <w:rPr>
          <w:rFonts w:ascii="Arial" w:hAnsi="Arial"/>
          <w:sz w:val="24"/>
        </w:rPr>
        <w:t>→ Embarazo ectópico</w:t>
      </w:r>
    </w:p>
    <w:p>
      <w:r>
        <w:rPr>
          <w:rFonts w:ascii="Arial" w:hAnsi="Arial"/>
          <w:sz w:val="24"/>
        </w:rPr>
        <w:t>35. ¿Cuál es la complicación neonatal característica de isoinmunización Rh negativo?</w:t>
      </w:r>
    </w:p>
    <w:p>
      <w:r>
        <w:rPr>
          <w:rFonts w:ascii="Arial" w:hAnsi="Arial"/>
          <w:sz w:val="24"/>
        </w:rPr>
        <w:t>→ Hídrops</w:t>
      </w:r>
    </w:p>
    <w:p>
      <w:r>
        <w:rPr>
          <w:rFonts w:ascii="Arial" w:hAnsi="Arial"/>
          <w:sz w:val="24"/>
        </w:rPr>
        <w:t>36. ¿Cuál es el mecanismo principal que explica su riesgo de parto pretérmino?</w:t>
      </w:r>
    </w:p>
    <w:p>
      <w:r>
        <w:rPr>
          <w:rFonts w:ascii="Arial" w:hAnsi="Arial"/>
          <w:sz w:val="24"/>
        </w:rPr>
        <w:t>→ Insuficiencia cervical</w:t>
      </w:r>
    </w:p>
    <w:p>
      <w:r>
        <w:rPr>
          <w:rFonts w:ascii="Arial" w:hAnsi="Arial"/>
          <w:sz w:val="24"/>
        </w:rPr>
        <w:t>37. Which of the following is the most likely underlying cause of this patient’s condition?</w:t>
      </w:r>
    </w:p>
    <w:p>
      <w:r>
        <w:rPr>
          <w:rFonts w:ascii="Arial" w:hAnsi="Arial"/>
          <w:sz w:val="24"/>
        </w:rPr>
        <w:t>→ Loss of an X chromosome</w:t>
      </w:r>
    </w:p>
    <w:p>
      <w:r>
        <w:rPr>
          <w:rFonts w:ascii="Arial" w:hAnsi="Arial"/>
          <w:sz w:val="24"/>
        </w:rPr>
        <w:t>38. ¿Qué lugar ocupa en el mundo la sepsis materna como causa de mortalidad materna?</w:t>
      </w:r>
    </w:p>
    <w:p>
      <w:r>
        <w:rPr>
          <w:rFonts w:ascii="Arial" w:hAnsi="Arial"/>
          <w:sz w:val="24"/>
        </w:rPr>
        <w:t>→ Tercer lugar</w:t>
      </w:r>
    </w:p>
    <w:p>
      <w:r>
        <w:rPr>
          <w:rFonts w:ascii="Arial" w:hAnsi="Arial"/>
          <w:sz w:val="24"/>
        </w:rPr>
        <w:t>39. ¿Cuál de los siguientes no forma parte de los factores de riesgo ante parto para el desarrollo de sepsis materna?</w:t>
      </w:r>
    </w:p>
    <w:p>
      <w:r>
        <w:rPr>
          <w:rFonts w:ascii="Arial" w:hAnsi="Arial"/>
          <w:sz w:val="24"/>
        </w:rPr>
        <w:t>→ Realizar más de cinco tactos vaginales</w:t>
      </w:r>
    </w:p>
    <w:p>
      <w:r>
        <w:rPr>
          <w:rFonts w:ascii="Arial" w:hAnsi="Arial"/>
          <w:sz w:val="24"/>
        </w:rPr>
        <w:t>40. Se clasifica como tumor de ovario tipo I, excepto:</w:t>
      </w:r>
    </w:p>
    <w:p>
      <w:r>
        <w:rPr>
          <w:rFonts w:ascii="Arial" w:hAnsi="Arial"/>
          <w:sz w:val="24"/>
        </w:rPr>
        <w:t>→ Mixto mülleriano</w:t>
      </w:r>
    </w:p>
    <w:p>
      <w:pPr>
        <w:pStyle w:val="Heading1"/>
      </w:pPr>
      <w:r>
        <w:rPr>
          <w:rFonts w:ascii="Arial" w:hAnsi="Arial"/>
        </w:rPr>
        <w:t>Infectología</w:t>
      </w:r>
    </w:p>
    <w:p>
      <w:r>
        <w:rPr>
          <w:rFonts w:ascii="Arial" w:hAnsi="Arial"/>
          <w:sz w:val="24"/>
        </w:rPr>
        <w:t>1. ¿Cuál es la dosis letal estimada de tetanospasmina en el ser humano?</w:t>
      </w:r>
    </w:p>
    <w:p>
      <w:r>
        <w:rPr>
          <w:rFonts w:ascii="Arial" w:hAnsi="Arial"/>
          <w:sz w:val="24"/>
        </w:rPr>
        <w:t>→ Aproximadamente 2.5 ng/kg.</w:t>
      </w:r>
    </w:p>
    <w:p>
      <w:r>
        <w:rPr>
          <w:rFonts w:ascii="Arial" w:hAnsi="Arial"/>
          <w:sz w:val="24"/>
        </w:rPr>
        <w:t>2. ¿Cuál es el puntaje máximo de la escala de McIsaac (Centor modificada)?</w:t>
      </w:r>
    </w:p>
    <w:p>
      <w:r>
        <w:rPr>
          <w:rFonts w:ascii="Arial" w:hAnsi="Arial"/>
          <w:sz w:val="24"/>
        </w:rPr>
        <w:t>→ 5 puntos (la escala de Centor original tiene un máximo de 4).</w:t>
      </w:r>
    </w:p>
    <w:p>
      <w:r>
        <w:rPr>
          <w:rFonts w:ascii="Arial" w:hAnsi="Arial"/>
          <w:sz w:val="24"/>
        </w:rPr>
        <w:t>3. ¿Cuál es el agente más frecuente de la diarrea del viajero?</w:t>
      </w:r>
    </w:p>
    <w:p>
      <w:r>
        <w:rPr>
          <w:rFonts w:ascii="Arial" w:hAnsi="Arial"/>
          <w:sz w:val="24"/>
        </w:rPr>
        <w:t>→ Escherichia coli enterotoxigénica.</w:t>
      </w:r>
    </w:p>
    <w:p>
      <w:r>
        <w:rPr>
          <w:rFonts w:ascii="Arial" w:hAnsi="Arial"/>
          <w:sz w:val="24"/>
        </w:rPr>
        <w:t>4. ¿Cuál es el microorganismo más frecuente de endocarditis infecciosa en adultos?</w:t>
      </w:r>
    </w:p>
    <w:p>
      <w:r>
        <w:rPr>
          <w:rFonts w:ascii="Arial" w:hAnsi="Arial"/>
          <w:sz w:val="24"/>
        </w:rPr>
        <w:t>→ Staphylococcus aureus. En válvula nativa con evolución subaguda o antecedente odontológico: estreptococos del grupo viridans.</w:t>
      </w:r>
    </w:p>
    <w:p>
      <w:r>
        <w:rPr>
          <w:rFonts w:ascii="Arial" w:hAnsi="Arial"/>
          <w:sz w:val="24"/>
        </w:rPr>
        <w:t>5. ¿Cuál es el agente más frecuente de endocarditis con hemocultivos negativos?</w:t>
      </w:r>
    </w:p>
    <w:p>
      <w:r>
        <w:rPr>
          <w:rFonts w:ascii="Arial" w:hAnsi="Arial"/>
          <w:sz w:val="24"/>
        </w:rPr>
        <w:t>→ Coxiella burnetii (seguido de Bartonella spp.; clásicamente se mencionan también los HACEK).</w:t>
      </w:r>
    </w:p>
    <w:p>
      <w:r>
        <w:rPr>
          <w:rFonts w:ascii="Arial" w:hAnsi="Arial"/>
          <w:sz w:val="24"/>
        </w:rPr>
        <w:t>6. ¿De qué infecciones es Staphylococcus epidermidis el principal agente?</w:t>
      </w:r>
    </w:p>
    <w:p>
      <w:r>
        <w:rPr>
          <w:rFonts w:ascii="Arial" w:hAnsi="Arial"/>
          <w:sz w:val="24"/>
        </w:rPr>
        <w:t>→ Infecciones asociadas a catéteres endovasculares y a dispositivos protésicos.</w:t>
      </w:r>
    </w:p>
    <w:p>
      <w:r>
        <w:rPr>
          <w:rFonts w:ascii="Arial" w:hAnsi="Arial"/>
          <w:sz w:val="24"/>
        </w:rPr>
        <w:t>7. ¿Cuál de las siguientes aseveraciones de la teniasis intestinal es verdadera?</w:t>
      </w:r>
    </w:p>
    <w:p>
      <w:r>
        <w:rPr>
          <w:rFonts w:ascii="Arial" w:hAnsi="Arial"/>
          <w:sz w:val="24"/>
        </w:rPr>
        <w:t>→ La teniasis intestinal surge al consumir carne con cisticercos</w:t>
      </w:r>
    </w:p>
    <w:p>
      <w:r>
        <w:rPr>
          <w:rFonts w:ascii="Arial" w:hAnsi="Arial"/>
          <w:sz w:val="24"/>
        </w:rPr>
        <w:t>8. ¿Cuál es el esquema de primera línea recomendado en un adulto sin comorbilidades ni resistencias conocidas?</w:t>
      </w:r>
    </w:p>
    <w:p>
      <w:r>
        <w:rPr>
          <w:rFonts w:ascii="Arial" w:hAnsi="Arial"/>
          <w:sz w:val="24"/>
        </w:rPr>
        <w:t>→ Tenofovir + emtricitabina + dolutegravir</w:t>
      </w:r>
    </w:p>
    <w:p>
      <w:r>
        <w:rPr>
          <w:rFonts w:ascii="Arial" w:hAnsi="Arial"/>
          <w:sz w:val="24"/>
        </w:rPr>
        <w:t>9. Proceso fisiopatológico responsable del dolor radicular en herpes zóster</w:t>
      </w:r>
    </w:p>
    <w:p>
      <w:r>
        <w:rPr>
          <w:rFonts w:ascii="Arial" w:hAnsi="Arial"/>
          <w:sz w:val="24"/>
        </w:rPr>
        <w:t>→ Disfunción neuroquímica</w:t>
      </w:r>
    </w:p>
    <w:p>
      <w:r>
        <w:rPr>
          <w:rFonts w:ascii="Arial" w:hAnsi="Arial"/>
          <w:sz w:val="24"/>
        </w:rPr>
        <w:t>10. ¿Qué reacción de hipersensibilidad está asociada a la prueba de PPD?</w:t>
      </w:r>
    </w:p>
    <w:p>
      <w:r>
        <w:rPr>
          <w:rFonts w:ascii="Arial" w:hAnsi="Arial"/>
          <w:sz w:val="24"/>
        </w:rPr>
        <w:t>→ Tipo IV respuesta celular</w:t>
      </w:r>
    </w:p>
    <w:p>
      <w:r>
        <w:rPr>
          <w:rFonts w:ascii="Arial" w:hAnsi="Arial"/>
          <w:sz w:val="24"/>
        </w:rPr>
        <w:t>11. ¿Cuál es el tratamiento de primera elección para dicha patología?</w:t>
      </w:r>
    </w:p>
    <w:p>
      <w:r>
        <w:rPr>
          <w:rFonts w:ascii="Arial" w:hAnsi="Arial"/>
          <w:sz w:val="24"/>
        </w:rPr>
        <w:t>→ Metronidazol 750mg, tres veces al día por cinco días</w:t>
      </w:r>
    </w:p>
    <w:p>
      <w:r>
        <w:rPr>
          <w:rFonts w:ascii="Arial" w:hAnsi="Arial"/>
          <w:sz w:val="24"/>
        </w:rPr>
        <w:t>12. ¿Qué esquema de antirretrovirales se usa para la profilaxis preexposición?</w:t>
      </w:r>
    </w:p>
    <w:p>
      <w:r>
        <w:rPr>
          <w:rFonts w:ascii="Arial" w:hAnsi="Arial"/>
          <w:sz w:val="24"/>
        </w:rPr>
        <w:t>→ 2 inhibidores nucleosídicos de la transcriptasa inversa</w:t>
      </w:r>
    </w:p>
    <w:p>
      <w:r>
        <w:rPr>
          <w:rFonts w:ascii="Arial" w:hAnsi="Arial"/>
          <w:sz w:val="24"/>
        </w:rPr>
        <w:t>13. ¿Cuál de los siguientes casos no se considera candidato a PrEP?</w:t>
      </w:r>
    </w:p>
    <w:p>
      <w:r>
        <w:rPr>
          <w:rFonts w:ascii="Arial" w:hAnsi="Arial"/>
          <w:sz w:val="24"/>
        </w:rPr>
        <w:t>→ Personal de salud</w:t>
      </w:r>
    </w:p>
    <w:p>
      <w:r>
        <w:rPr>
          <w:rFonts w:ascii="Arial" w:hAnsi="Arial"/>
          <w:sz w:val="24"/>
        </w:rPr>
        <w:t>14. Dentro del diagnostico de dicha patología ¿Cuál no es una forma de obtener muestra en vía respiratoria?</w:t>
      </w:r>
    </w:p>
    <w:p>
      <w:r>
        <w:rPr>
          <w:rFonts w:ascii="Arial" w:hAnsi="Arial"/>
          <w:sz w:val="24"/>
        </w:rPr>
        <w:t>→ Cepillado bronquial</w:t>
      </w:r>
    </w:p>
    <w:p>
      <w:pPr>
        <w:pStyle w:val="Heading1"/>
      </w:pPr>
      <w:r>
        <w:rPr>
          <w:rFonts w:ascii="Arial" w:hAnsi="Arial"/>
        </w:rPr>
        <w:t>Medicina Interna y Urgencias</w:t>
      </w:r>
    </w:p>
    <w:p>
      <w:r>
        <w:rPr>
          <w:rFonts w:ascii="Arial" w:hAnsi="Arial"/>
          <w:sz w:val="24"/>
        </w:rPr>
        <w:t>1. ¿Cuál es la tercera manifestación de acuerdo con su frecuencia de presentación que los pacientes refieren tras la ingesta de un cáustico?</w:t>
      </w:r>
    </w:p>
    <w:p>
      <w:r>
        <w:rPr>
          <w:rFonts w:ascii="Arial" w:hAnsi="Arial"/>
          <w:sz w:val="24"/>
        </w:rPr>
        <w:t>→ Vómitos</w:t>
      </w:r>
    </w:p>
    <w:p>
      <w:r>
        <w:rPr>
          <w:rFonts w:ascii="Arial" w:hAnsi="Arial"/>
          <w:sz w:val="24"/>
        </w:rPr>
        <w:t>2. ¿Qué porcentaje de casos de quemaduras por cáusticos son debidos a la ingesta de sosa cáustica?</w:t>
      </w:r>
    </w:p>
    <w:p>
      <w:r>
        <w:rPr>
          <w:rFonts w:ascii="Arial" w:hAnsi="Arial"/>
          <w:sz w:val="24"/>
        </w:rPr>
        <w:t>→ 59 a 66%</w:t>
      </w:r>
    </w:p>
    <w:p>
      <w:r>
        <w:rPr>
          <w:rFonts w:ascii="Arial" w:hAnsi="Arial"/>
          <w:sz w:val="24"/>
        </w:rPr>
        <w:t>3. ¿Cuál es la prueba paraclínica que debemos hacer de inmediato?</w:t>
      </w:r>
    </w:p>
    <w:p>
      <w:r>
        <w:rPr>
          <w:rFonts w:ascii="Arial" w:hAnsi="Arial"/>
          <w:sz w:val="24"/>
        </w:rPr>
        <w:t>→ No requiere más pruebas diagnósticas.</w:t>
      </w:r>
    </w:p>
    <w:p>
      <w:r>
        <w:rPr>
          <w:rFonts w:ascii="Arial" w:hAnsi="Arial"/>
          <w:sz w:val="24"/>
        </w:rPr>
        <w:t>4. ¿Qué componente en sangre sería el principal indicativo de desgranulación de mastocitos?</w:t>
      </w:r>
    </w:p>
    <w:p>
      <w:r>
        <w:rPr>
          <w:rFonts w:ascii="Arial" w:hAnsi="Arial"/>
          <w:sz w:val="24"/>
        </w:rPr>
        <w:t>→ Triptasa madura</w:t>
      </w:r>
    </w:p>
    <w:p>
      <w:pPr>
        <w:pStyle w:val="Heading1"/>
      </w:pPr>
      <w:r>
        <w:rPr>
          <w:rFonts w:ascii="Arial" w:hAnsi="Arial"/>
        </w:rPr>
        <w:t>Nefrología</w:t>
      </w:r>
    </w:p>
    <w:p>
      <w:r>
        <w:rPr>
          <w:rFonts w:ascii="Arial" w:hAnsi="Arial"/>
          <w:sz w:val="24"/>
        </w:rPr>
        <w:t>1. ¿Cómo se define la enfermedad renal crónica según KDIGO?</w:t>
      </w:r>
    </w:p>
    <w:p>
      <w:r>
        <w:rPr>
          <w:rFonts w:ascii="Arial" w:hAnsi="Arial"/>
          <w:sz w:val="24"/>
        </w:rPr>
        <w:t>→ Alteraciones de la estructura o función renal presentes durante más de 3 meses, con implicaciones para la salud (marcadores de daño renal o TFG &lt; 60 mL/min/1.73 m²).</w:t>
      </w:r>
    </w:p>
    <w:p>
      <w:r>
        <w:rPr>
          <w:rFonts w:ascii="Arial" w:hAnsi="Arial"/>
          <w:sz w:val="24"/>
        </w:rPr>
        <w:t>2. ¿En el citologico de liquido obtenido de paciente con peritonitis asociada a catéter cuantos leucocitos por ml y qué porcentaje de PMN debe existir para diagnosticar el proceso infeccioso?</w:t>
      </w:r>
    </w:p>
    <w:p>
      <w:r>
        <w:rPr>
          <w:rFonts w:ascii="Arial" w:hAnsi="Arial"/>
          <w:sz w:val="24"/>
        </w:rPr>
        <w:t>→ Mas de 100 leucos y mas de 50% de PMN</w:t>
      </w:r>
    </w:p>
    <w:p>
      <w:r>
        <w:rPr>
          <w:rFonts w:ascii="Arial" w:hAnsi="Arial"/>
          <w:sz w:val="24"/>
        </w:rPr>
        <w:t>3. What finding do you observe in light microscopy and what is the prognosis without treatment?</w:t>
      </w:r>
    </w:p>
    <w:p>
      <w:r>
        <w:rPr>
          <w:rFonts w:ascii="Arial" w:hAnsi="Arial"/>
          <w:sz w:val="24"/>
        </w:rPr>
        <w:t>→ Crescents/Renal failure is imminent</w:t>
      </w:r>
    </w:p>
    <w:p>
      <w:r>
        <w:rPr>
          <w:rFonts w:ascii="Arial" w:hAnsi="Arial"/>
          <w:sz w:val="24"/>
        </w:rPr>
        <w:t>4. Lugar que ocupa México en el mundo en mortalidad por ERC</w:t>
      </w:r>
    </w:p>
    <w:p>
      <w:r>
        <w:rPr>
          <w:rFonts w:ascii="Arial" w:hAnsi="Arial"/>
          <w:sz w:val="24"/>
        </w:rPr>
        <w:t>→ Sexto</w:t>
      </w:r>
    </w:p>
    <w:p>
      <w:r>
        <w:rPr>
          <w:rFonts w:ascii="Arial" w:hAnsi="Arial"/>
          <w:sz w:val="24"/>
        </w:rPr>
        <w:t>5. ¿Cuál es el estándar de oro para medir el filtrado glomerular?</w:t>
      </w:r>
    </w:p>
    <w:p>
      <w:r>
        <w:rPr>
          <w:rFonts w:ascii="Arial" w:hAnsi="Arial"/>
          <w:sz w:val="24"/>
        </w:rPr>
        <w:t>→ Depuración de inulina y la depuración de plasma basada en la depuración de marcadores exógenos</w:t>
      </w:r>
    </w:p>
    <w:p>
      <w:r>
        <w:rPr>
          <w:rFonts w:ascii="Arial" w:hAnsi="Arial"/>
          <w:sz w:val="24"/>
        </w:rPr>
        <w:t>6. ¿A partir de qué nivel de flujo del acceso vascular se debe derivar con angiología?</w:t>
      </w:r>
    </w:p>
    <w:p>
      <w:r>
        <w:rPr>
          <w:rFonts w:ascii="Arial" w:hAnsi="Arial"/>
          <w:sz w:val="24"/>
        </w:rPr>
        <w:t>→ Menos de 300 ml/min</w:t>
      </w:r>
    </w:p>
    <w:p>
      <w:pPr>
        <w:pStyle w:val="Heading1"/>
      </w:pPr>
      <w:r>
        <w:rPr>
          <w:rFonts w:ascii="Arial" w:hAnsi="Arial"/>
        </w:rPr>
        <w:t>Neurología</w:t>
      </w:r>
    </w:p>
    <w:p>
      <w:r>
        <w:rPr>
          <w:rFonts w:ascii="Arial" w:hAnsi="Arial"/>
          <w:sz w:val="24"/>
        </w:rPr>
        <w:t>1. ¿Cuál es la dosis de riboflavina para la profilaxis de migraña en adultos?</w:t>
      </w:r>
    </w:p>
    <w:p>
      <w:r>
        <w:rPr>
          <w:rFonts w:ascii="Arial" w:hAnsi="Arial"/>
          <w:sz w:val="24"/>
        </w:rPr>
        <w:t>→ 400 mg/día (en niños de 8 años o más: 200 a 400 mg/día).</w:t>
      </w:r>
    </w:p>
    <w:p>
      <w:pPr>
        <w:pStyle w:val="Heading1"/>
      </w:pPr>
      <w:r>
        <w:rPr>
          <w:rFonts w:ascii="Arial" w:hAnsi="Arial"/>
        </w:rPr>
        <w:t>Neurología y Psiquiatría</w:t>
      </w:r>
    </w:p>
    <w:p>
      <w:r>
        <w:rPr>
          <w:rFonts w:ascii="Arial" w:hAnsi="Arial"/>
          <w:sz w:val="24"/>
        </w:rPr>
        <w:t>1. ¿Cuál es la prevalencia de apnea obstructiva del sueño en pacientes con EVC?</w:t>
      </w:r>
    </w:p>
    <w:p>
      <w:r>
        <w:rPr>
          <w:rFonts w:ascii="Arial" w:hAnsi="Arial"/>
          <w:sz w:val="24"/>
        </w:rPr>
        <w:t>→ 70%</w:t>
      </w:r>
    </w:p>
    <w:p>
      <w:r>
        <w:rPr>
          <w:rFonts w:ascii="Arial" w:hAnsi="Arial"/>
          <w:sz w:val="24"/>
        </w:rPr>
        <w:t>2. Cuál es el principal factor de riesgo no modificable del EVC isquémico?</w:t>
      </w:r>
    </w:p>
    <w:p>
      <w:r>
        <w:rPr>
          <w:rFonts w:ascii="Arial" w:hAnsi="Arial"/>
          <w:sz w:val="24"/>
        </w:rPr>
        <w:t>→ Edad</w:t>
      </w:r>
    </w:p>
    <w:p>
      <w:r>
        <w:rPr>
          <w:rFonts w:ascii="Arial" w:hAnsi="Arial"/>
          <w:sz w:val="24"/>
        </w:rPr>
        <w:t>3. Cuál es la meta de presión arterial como prevención secundaria en un paciente con EVC?</w:t>
      </w:r>
    </w:p>
    <w:p>
      <w:r>
        <w:rPr>
          <w:rFonts w:ascii="Arial" w:hAnsi="Arial"/>
          <w:sz w:val="24"/>
        </w:rPr>
        <w:t>→ ‹140/90 mmHg</w:t>
      </w:r>
    </w:p>
    <w:p>
      <w:pPr>
        <w:pStyle w:val="Heading1"/>
      </w:pPr>
      <w:r>
        <w:rPr>
          <w:rFonts w:ascii="Arial" w:hAnsi="Arial"/>
        </w:rPr>
        <w:t>Oftalmología</w:t>
      </w:r>
    </w:p>
    <w:p>
      <w:r>
        <w:rPr>
          <w:rFonts w:ascii="Arial" w:hAnsi="Arial"/>
          <w:sz w:val="24"/>
        </w:rPr>
        <w:t>1. ¿Cuál es la causa con mayor prevalencia de ceguera en la población con retinopatía diabética?</w:t>
      </w:r>
    </w:p>
    <w:p>
      <w:r>
        <w:rPr>
          <w:rFonts w:ascii="Arial" w:hAnsi="Arial"/>
          <w:sz w:val="24"/>
        </w:rPr>
        <w:t>→ Edema macular diabético</w:t>
      </w:r>
    </w:p>
    <w:p>
      <w:r>
        <w:rPr>
          <w:rFonts w:ascii="Arial" w:hAnsi="Arial"/>
          <w:sz w:val="24"/>
        </w:rPr>
        <w:t>2. ¿Cuántas veces y en qué momentos del día se recomiendan los masajes de Crigler?</w:t>
      </w:r>
    </w:p>
    <w:p>
      <w:r>
        <w:rPr>
          <w:rFonts w:ascii="Arial" w:hAnsi="Arial"/>
          <w:sz w:val="24"/>
        </w:rPr>
        <w:t>→ 10 veces; mañana y tarde</w:t>
      </w:r>
    </w:p>
    <w:p>
      <w:r>
        <w:rPr>
          <w:rFonts w:ascii="Arial" w:hAnsi="Arial"/>
          <w:sz w:val="24"/>
        </w:rPr>
        <w:t>3. ¿Cuál de las siguientes respuestas disminuye la incidencia de opacidad de cápsula posterior?</w:t>
      </w:r>
    </w:p>
    <w:p>
      <w:r>
        <w:rPr>
          <w:rFonts w:ascii="Arial" w:hAnsi="Arial"/>
          <w:sz w:val="24"/>
        </w:rPr>
        <w:t>→ Lente intraocular con bordes cuadrados</w:t>
      </w:r>
    </w:p>
    <w:p>
      <w:r>
        <w:rPr>
          <w:rFonts w:ascii="Arial" w:hAnsi="Arial"/>
          <w:sz w:val="24"/>
        </w:rPr>
        <w:t>4. ¿Cuál es la utilidad principal de la clasificación de Reese-Ellsworth en pacientes con retinoblastoma?</w:t>
      </w:r>
    </w:p>
    <w:p>
      <w:r>
        <w:rPr>
          <w:rFonts w:ascii="Arial" w:hAnsi="Arial"/>
          <w:sz w:val="24"/>
        </w:rPr>
        <w:t>→ Valorar la probabilidad de preservar el globo ocular</w:t>
      </w:r>
    </w:p>
    <w:p>
      <w:r>
        <w:rPr>
          <w:rFonts w:ascii="Arial" w:hAnsi="Arial"/>
          <w:sz w:val="24"/>
        </w:rPr>
        <w:t>5. Cuál es el tratamiento de elección?</w:t>
      </w:r>
    </w:p>
    <w:p>
      <w:r>
        <w:rPr>
          <w:rFonts w:ascii="Arial" w:hAnsi="Arial"/>
          <w:sz w:val="24"/>
        </w:rPr>
        <w:t>→ Tetraciclina tópica y eritromicina sistémica</w:t>
      </w:r>
    </w:p>
    <w:p>
      <w:pPr>
        <w:pStyle w:val="Heading1"/>
      </w:pPr>
      <w:r>
        <w:rPr>
          <w:rFonts w:ascii="Arial" w:hAnsi="Arial"/>
        </w:rPr>
        <w:t>Oncología y Hematología</w:t>
      </w:r>
    </w:p>
    <w:p>
      <w:r>
        <w:rPr>
          <w:rFonts w:ascii="Arial" w:hAnsi="Arial"/>
          <w:sz w:val="24"/>
        </w:rPr>
        <w:t>1. ¿En qué porcentaje el hiperesplenismo es causa de esplenectomía?</w:t>
      </w:r>
    </w:p>
    <w:p>
      <w:r>
        <w:rPr>
          <w:rFonts w:ascii="Arial" w:hAnsi="Arial"/>
          <w:sz w:val="24"/>
        </w:rPr>
        <w:t>→ 50 % (sin verificar).</w:t>
      </w:r>
    </w:p>
    <w:p>
      <w:r>
        <w:rPr>
          <w:rFonts w:ascii="Arial" w:hAnsi="Arial"/>
          <w:sz w:val="24"/>
        </w:rPr>
        <w:t>2. ¿Qué tipo de neoplasia es la micosis fungoide?</w:t>
      </w:r>
    </w:p>
    <w:p>
      <w:r>
        <w:rPr>
          <w:rFonts w:ascii="Arial" w:hAnsi="Arial"/>
          <w:sz w:val="24"/>
        </w:rPr>
        <w:t>→ Linfoma no Hodgkin de células T (el linfoma cutáneo de células T más frecuente).</w:t>
      </w:r>
    </w:p>
    <w:p>
      <w:r>
        <w:rPr>
          <w:rFonts w:ascii="Arial" w:hAnsi="Arial"/>
          <w:sz w:val="24"/>
        </w:rPr>
        <w:t>3. ¿Cuál es el tumor más frecuente del aparato genital femenino?</w:t>
      </w:r>
    </w:p>
    <w:p>
      <w:r>
        <w:rPr>
          <w:rFonts w:ascii="Arial" w:hAnsi="Arial"/>
          <w:sz w:val="24"/>
        </w:rPr>
        <w:t>→ Leiomioma uterino (tumor benigno).</w:t>
      </w:r>
    </w:p>
    <w:p>
      <w:r>
        <w:rPr>
          <w:rFonts w:ascii="Arial" w:hAnsi="Arial"/>
          <w:sz w:val="24"/>
        </w:rPr>
        <w:t>4. ¿Cuál es la causa más frecuente del síndrome de vena cava superior?</w:t>
      </w:r>
    </w:p>
    <w:p>
      <w:r>
        <w:rPr>
          <w:rFonts w:ascii="Arial" w:hAnsi="Arial"/>
          <w:sz w:val="24"/>
        </w:rPr>
        <w:t>→ Carcinoma broncogénico, sobre todo de células pequeñas.</w:t>
      </w:r>
    </w:p>
    <w:p>
      <w:r>
        <w:rPr>
          <w:rFonts w:ascii="Arial" w:hAnsi="Arial"/>
          <w:sz w:val="24"/>
        </w:rPr>
        <w:t>5. ¿Cuál es el tipo histológico más frecuente en el cáncer de primario desconocido?</w:t>
      </w:r>
    </w:p>
    <w:p>
      <w:r>
        <w:rPr>
          <w:rFonts w:ascii="Arial" w:hAnsi="Arial"/>
          <w:sz w:val="24"/>
        </w:rPr>
        <w:t>→ Adenocarcinoma bien o moderadamente diferenciado.</w:t>
      </w:r>
    </w:p>
    <w:p>
      <w:r>
        <w:rPr>
          <w:rFonts w:ascii="Arial" w:hAnsi="Arial"/>
          <w:sz w:val="24"/>
        </w:rPr>
        <w:t>6. ¿Este tipo de pacientes presenta un mayor riesgo de desarrollar cuál de las siguientes enfermedades?</w:t>
      </w:r>
    </w:p>
    <w:p>
      <w:r>
        <w:rPr>
          <w:rFonts w:ascii="Arial" w:hAnsi="Arial"/>
          <w:sz w:val="24"/>
        </w:rPr>
        <w:t>→ Carcinoma hepatocelular</w:t>
      </w:r>
    </w:p>
    <w:p>
      <w:r>
        <w:rPr>
          <w:rFonts w:ascii="Arial" w:hAnsi="Arial"/>
          <w:sz w:val="24"/>
        </w:rPr>
        <w:t>7. ¿Cuál de las siguientes características sugiere que la trombocitopenia es inmune primaria y no secundaria?</w:t>
      </w:r>
    </w:p>
    <w:p>
      <w:r>
        <w:rPr>
          <w:rFonts w:ascii="Arial" w:hAnsi="Arial"/>
          <w:sz w:val="24"/>
        </w:rPr>
        <w:t>→ Ausencia de otras citopenias</w:t>
      </w:r>
    </w:p>
    <w:p>
      <w:pPr>
        <w:pStyle w:val="Heading1"/>
      </w:pPr>
      <w:r>
        <w:rPr>
          <w:rFonts w:ascii="Arial" w:hAnsi="Arial"/>
        </w:rPr>
        <w:t>Otorrinolaringología</w:t>
      </w:r>
    </w:p>
    <w:p>
      <w:r>
        <w:rPr>
          <w:rFonts w:ascii="Arial" w:hAnsi="Arial"/>
          <w:sz w:val="24"/>
        </w:rPr>
        <w:t>1. ¿Cuál es la complicación supurativa intratemporal más frecuente de la otitis media aguda?</w:t>
      </w:r>
    </w:p>
    <w:p>
      <w:r>
        <w:rPr>
          <w:rFonts w:ascii="Arial" w:hAnsi="Arial"/>
          <w:sz w:val="24"/>
        </w:rPr>
        <w:t>→ Mastoiditis aguda.</w:t>
      </w:r>
    </w:p>
    <w:p>
      <w:pPr>
        <w:pStyle w:val="Heading1"/>
      </w:pPr>
      <w:r>
        <w:rPr>
          <w:rFonts w:ascii="Arial" w:hAnsi="Arial"/>
        </w:rPr>
        <w:t>Pediatría y Neonatología</w:t>
      </w:r>
    </w:p>
    <w:p>
      <w:r>
        <w:rPr>
          <w:rFonts w:ascii="Arial" w:hAnsi="Arial"/>
          <w:sz w:val="24"/>
        </w:rPr>
        <w:t>1. ¿A qué edad suelen aparecer los primeros síntomas de una comunicación interventricular (CIV) grande?</w:t>
      </w:r>
    </w:p>
    <w:p>
      <w:r>
        <w:rPr>
          <w:rFonts w:ascii="Arial" w:hAnsi="Arial"/>
          <w:sz w:val="24"/>
        </w:rPr>
        <w:t>→ Entre el primer y el segundo mes de vida, cuando disminuyen las resistencias vasculares pulmonares.</w:t>
      </w:r>
    </w:p>
    <w:p>
      <w:r>
        <w:rPr>
          <w:rFonts w:ascii="Arial" w:hAnsi="Arial"/>
          <w:sz w:val="24"/>
        </w:rPr>
        <w:t>2. ¿Cuál es la tríada clínica de la laringotraqueítis aguda (LTA, crup)?</w:t>
      </w:r>
    </w:p>
    <w:p>
      <w:r>
        <w:rPr>
          <w:rFonts w:ascii="Arial" w:hAnsi="Arial"/>
          <w:sz w:val="24"/>
        </w:rPr>
        <w:t>→ Disfonía, estridor laríngeo inspiratorio y tos traqueal ("perruna").</w:t>
      </w:r>
    </w:p>
    <w:p>
      <w:r>
        <w:rPr>
          <w:rFonts w:ascii="Arial" w:hAnsi="Arial"/>
          <w:sz w:val="24"/>
        </w:rPr>
        <w:t>3. ¿Qué cinco parámetros evalúa la escala de Silverman-Andersen?</w:t>
      </w:r>
    </w:p>
    <w:p>
      <w:r>
        <w:rPr>
          <w:rFonts w:ascii="Arial" w:hAnsi="Arial"/>
          <w:sz w:val="24"/>
        </w:rPr>
        <w:t>→ Movimientos toracoabdominales (disociación), tiraje intercostal, retracción xifoidea, aleteo nasal y quejido espiratorio.</w:t>
      </w:r>
    </w:p>
    <w:p>
      <w:r>
        <w:rPr>
          <w:rFonts w:ascii="Arial" w:hAnsi="Arial"/>
          <w:sz w:val="24"/>
        </w:rPr>
        <w:t>4. ¿Cuál es el intervalo normal de hemoglobina en un lactante sano de 3 meses?</w:t>
      </w:r>
    </w:p>
    <w:p>
      <w:r>
        <w:rPr>
          <w:rFonts w:ascii="Arial" w:hAnsi="Arial"/>
          <w:sz w:val="24"/>
        </w:rPr>
        <w:t>→ 9.5 a 14 g/dL (nadir fisiológico).</w:t>
      </w:r>
    </w:p>
    <w:p>
      <w:r>
        <w:rPr>
          <w:rFonts w:ascii="Arial" w:hAnsi="Arial"/>
          <w:sz w:val="24"/>
        </w:rPr>
        <w:t>5. ¿Qué tríada define al síndrome hemolítico-urémico?</w:t>
      </w:r>
    </w:p>
    <w:p>
      <w:r>
        <w:rPr>
          <w:rFonts w:ascii="Arial" w:hAnsi="Arial"/>
          <w:sz w:val="24"/>
        </w:rPr>
        <w:t>→ Anemia hemolítica microangiopática (esquistocitos), trombocitopenia y lesión renal aguda.</w:t>
      </w:r>
    </w:p>
    <w:p>
      <w:r>
        <w:rPr>
          <w:rFonts w:ascii="Arial" w:hAnsi="Arial"/>
          <w:sz w:val="24"/>
        </w:rPr>
        <w:t>6. ¿Cuál es la prevalencia mundial de síntomas de asma en niños de 6 a 7 años según el estudio ISAAC?</w:t>
      </w:r>
    </w:p>
    <w:p>
      <w:r>
        <w:rPr>
          <w:rFonts w:ascii="Arial" w:hAnsi="Arial"/>
          <w:sz w:val="24"/>
        </w:rPr>
        <w:t>→ 11.7 %.</w:t>
      </w:r>
    </w:p>
    <w:p>
      <w:r>
        <w:rPr>
          <w:rFonts w:ascii="Arial" w:hAnsi="Arial"/>
          <w:sz w:val="24"/>
        </w:rPr>
        <w:t>7. ¿A qué edad se aplica la primera dosis de la vacuna triple viral (SRP)?</w:t>
      </w:r>
    </w:p>
    <w:p>
      <w:r>
        <w:rPr>
          <w:rFonts w:ascii="Arial" w:hAnsi="Arial"/>
          <w:sz w:val="24"/>
        </w:rPr>
        <w:t>→ A los 12 meses (la segunda, a los 18 meses).</w:t>
      </w:r>
    </w:p>
    <w:p>
      <w:r>
        <w:rPr>
          <w:rFonts w:ascii="Arial" w:hAnsi="Arial"/>
          <w:sz w:val="24"/>
        </w:rPr>
        <w:t>8. ¿A qué edad se aplica el refuerzo de la vacuna neumocócica conjugada?</w:t>
      </w:r>
    </w:p>
    <w:p>
      <w:r>
        <w:rPr>
          <w:rFonts w:ascii="Arial" w:hAnsi="Arial"/>
          <w:sz w:val="24"/>
        </w:rPr>
        <w:t>→ A los 12 meses (esquema 2, 4 y 12 meses).</w:t>
      </w:r>
    </w:p>
    <w:p>
      <w:pPr>
        <w:pStyle w:val="Heading1"/>
      </w:pPr>
      <w:r>
        <w:rPr>
          <w:rFonts w:ascii="Arial" w:hAnsi="Arial"/>
        </w:rPr>
        <w:t>Salud Pública y Epidemiología</w:t>
      </w:r>
    </w:p>
    <w:p>
      <w:r>
        <w:rPr>
          <w:rFonts w:ascii="Arial" w:hAnsi="Arial"/>
          <w:sz w:val="24"/>
        </w:rPr>
        <w:t>1. ¿Cómo se define el periodo de incubación de una enfermedad infecciosa?</w:t>
      </w:r>
    </w:p>
    <w:p>
      <w:r>
        <w:rPr>
          <w:rFonts w:ascii="Arial" w:hAnsi="Arial"/>
          <w:sz w:val="24"/>
        </w:rPr>
        <w:t>→ Tiempo que transcurre entre la invasión por el agente infeccioso y la aparición del primer signo o síntoma.</w:t>
      </w:r>
    </w:p>
    <w:p>
      <w:r>
        <w:rPr>
          <w:rFonts w:ascii="Arial" w:hAnsi="Arial"/>
          <w:sz w:val="24"/>
        </w:rPr>
        <w:t>2. ¿Cómo se calcula el índice de masa corporal (índice de Quetelet)?</w:t>
      </w:r>
    </w:p>
    <w:p>
      <w:r>
        <w:rPr>
          <w:rFonts w:ascii="Arial" w:hAnsi="Arial"/>
          <w:sz w:val="24"/>
        </w:rPr>
        <w:t>→ Peso en kg / (talla en m)².</w:t>
      </w:r>
    </w:p>
    <w:p>
      <w:r>
        <w:rPr>
          <w:rFonts w:ascii="Arial" w:hAnsi="Arial"/>
          <w:sz w:val="24"/>
        </w:rPr>
        <w:t>3. ¿Cuál es la población blanco de la vacuna contra el virus del papiloma humano (VPH) en México desde 2022?</w:t>
      </w:r>
    </w:p>
    <w:p>
      <w:r>
        <w:rPr>
          <w:rFonts w:ascii="Arial" w:hAnsi="Arial"/>
          <w:sz w:val="24"/>
        </w:rPr>
        <w:t>→ Niñas de 5.º grado de primaria y de 11 años no escolarizadas, en dosis única. Población de riesgo: personas de 11 a 49 años que viven con VIH.</w:t>
      </w:r>
    </w:p>
    <w:p>
      <w:r>
        <w:rPr>
          <w:rFonts w:ascii="Arial" w:hAnsi="Arial"/>
          <w:sz w:val="24"/>
        </w:rPr>
        <w:t>4. ¿Cuál es la eficacia de la vacuna tetravalente contra VPH para prevenir lesiones cervicales de alto grado en mujeres no expuestas previamente a los genotipos vacunales?</w:t>
      </w:r>
    </w:p>
    <w:p>
      <w:r>
        <w:rPr>
          <w:rFonts w:ascii="Arial" w:hAnsi="Arial"/>
          <w:sz w:val="24"/>
        </w:rPr>
        <w:t>→ 98.2 %.</w:t>
      </w:r>
    </w:p>
    <w:p>
      <w:r>
        <w:rPr>
          <w:rFonts w:ascii="Arial" w:hAnsi="Arial"/>
          <w:sz w:val="24"/>
        </w:rPr>
        <w:t>5. ¿Cuál es el numerador de la tasa de mortalidad neonatal precoz?</w:t>
      </w:r>
    </w:p>
    <w:p>
      <w:r>
        <w:rPr>
          <w:rFonts w:ascii="Arial" w:hAnsi="Arial"/>
          <w:sz w:val="24"/>
        </w:rPr>
        <w:t>→ Defunciones de recién nacidos menores de 7 días (0 a 6 días) en un periodo y lugar determinados. Denominador: nacidos vivos.</w:t>
      </w:r>
    </w:p>
    <w:p>
      <w:r>
        <w:rPr>
          <w:rFonts w:ascii="Arial" w:hAnsi="Arial"/>
          <w:sz w:val="24"/>
        </w:rPr>
        <w:t>6. ¿Cuál es la definición de prevalencia en epidemiología?</w:t>
      </w:r>
    </w:p>
    <w:p>
      <w:r>
        <w:rPr>
          <w:rFonts w:ascii="Arial" w:hAnsi="Arial"/>
          <w:sz w:val="24"/>
        </w:rPr>
        <w:t>→ Proporción de individuos de una población que presentan la enfermedad en un momento o periodo determinado (incluye casos nuevos y antiguos).</w:t>
      </w:r>
    </w:p>
    <w:p>
      <w:pPr>
        <w:pStyle w:val="Heading1"/>
      </w:pPr>
      <w:r>
        <w:rPr>
          <w:rFonts w:ascii="Arial" w:hAnsi="Arial"/>
        </w:rPr>
        <w:t>Traumatología</w:t>
      </w:r>
    </w:p>
    <w:p>
      <w:r>
        <w:rPr>
          <w:rFonts w:ascii="Arial" w:hAnsi="Arial"/>
          <w:sz w:val="24"/>
        </w:rPr>
        <w:t>1. Al cuanto tiempo de recomienda iniciar un programa de rehabilitación en pacientes manejados de forma conservadora:</w:t>
      </w:r>
    </w:p>
    <w:p>
      <w:r>
        <w:rPr>
          <w:rFonts w:ascii="Arial" w:hAnsi="Arial"/>
          <w:sz w:val="24"/>
        </w:rPr>
        <w:t>→ 1 a 4 días posterior al tratamiento</w:t>
      </w:r>
    </w:p>
    <w:p>
      <w:r>
        <w:rPr>
          <w:rFonts w:ascii="Arial" w:hAnsi="Arial"/>
          <w:sz w:val="24"/>
        </w:rPr>
        <w:t>2. Es una medida terapéutica complementaria en el manejo de las secuelas:</w:t>
      </w:r>
    </w:p>
    <w:p>
      <w:r>
        <w:rPr>
          <w:rFonts w:ascii="Arial" w:hAnsi="Arial"/>
          <w:sz w:val="24"/>
        </w:rPr>
        <w:t>→ Ultrasonido terapéutico</w:t>
      </w:r>
    </w:p>
    <w:p>
      <w:r>
        <w:rPr>
          <w:rFonts w:ascii="Arial" w:hAnsi="Arial"/>
          <w:sz w:val="24"/>
        </w:rPr>
        <w:t>3. Cual es la escala utilizada para valorar la funcionalidad del miembro superior:</w:t>
      </w:r>
    </w:p>
    <w:p>
      <w:r>
        <w:rPr>
          <w:rFonts w:ascii="Arial" w:hAnsi="Arial"/>
          <w:sz w:val="24"/>
        </w:rPr>
        <w:t>→ Escala DASH</w:t>
      </w:r>
    </w:p>
    <w:p>
      <w:pPr>
        <w:pStyle w:val="Heading1"/>
      </w:pPr>
      <w:r>
        <w:rPr>
          <w:rFonts w:ascii="Arial" w:hAnsi="Arial"/>
        </w:rPr>
        <w:t>Urología</w:t>
      </w:r>
    </w:p>
    <w:p>
      <w:r>
        <w:rPr>
          <w:rFonts w:ascii="Arial" w:hAnsi="Arial"/>
          <w:sz w:val="24"/>
        </w:rPr>
        <w:t>1. ¿Cuál es el estudio de imagen de elección ante sospecha de torsión testicular?</w:t>
      </w:r>
    </w:p>
    <w:p>
      <w:r>
        <w:rPr>
          <w:rFonts w:ascii="Arial" w:hAnsi="Arial"/>
          <w:sz w:val="24"/>
        </w:rPr>
        <w:t>→ Ecografía Doppler, siempre que no retrase la cirugía cuando la sospecha clínica es alta.</w:t>
      </w:r>
    </w:p>
    <w:p>
      <w:r>
        <w:rPr>
          <w:rFonts w:ascii="Arial" w:hAnsi="Arial"/>
          <w:sz w:val="24"/>
        </w:rPr>
        <w:t>2. ¿Cuál es el estudio diagnóstico indicado como parte de la valoración pre quirúrgica?</w:t>
      </w:r>
    </w:p>
    <w:p>
      <w:r>
        <w:rPr>
          <w:rFonts w:ascii="Arial" w:hAnsi="Arial"/>
          <w:sz w:val="24"/>
        </w:rPr>
        <w:t>→ Manometría</w:t>
      </w:r>
    </w:p>
    <w:p>
      <w:r>
        <w:rPr>
          <w:rFonts w:ascii="Arial" w:hAnsi="Arial"/>
          <w:sz w:val="24"/>
        </w:rPr>
        <w:t>3. Usted decide realizar tomografía abdominal la cual muestra un absceso intrabdominal de 6 cm distal al sitio inflamatorio primario, usted lo clasifica como:</w:t>
      </w:r>
    </w:p>
    <w:p>
      <w:r>
        <w:rPr>
          <w:rFonts w:ascii="Arial" w:hAnsi="Arial"/>
          <w:sz w:val="24"/>
        </w:rPr>
        <w:t>→ Hinchey II</w:t>
      </w:r>
    </w:p>
    <w:p>
      <w:r>
        <w:rPr>
          <w:rFonts w:ascii="Arial" w:hAnsi="Arial"/>
          <w:sz w:val="24"/>
        </w:rPr>
        <w:t>4. ¿Cuál es el punto de corte de unidades formadoras de colonia (UFC/mL) que confirma bacteriuria significativa en una paciente con pielonefritis aguda?</w:t>
      </w:r>
    </w:p>
    <w:p>
      <w:r>
        <w:rPr>
          <w:rFonts w:ascii="Arial" w:hAnsi="Arial"/>
          <w:sz w:val="24"/>
        </w:rPr>
        <w:t>→ 10⁵ UFC/mL</w:t>
      </w:r>
    </w:p>
    <w:p>
      <w:r>
        <w:rPr>
          <w:rFonts w:ascii="Arial" w:hAnsi="Arial"/>
          <w:sz w:val="24"/>
        </w:rPr>
        <w:t>5. ¿Cuál es la alternativa terapéutica más apropiada ante el elevado riesgo quirúrgico del paciente?</w:t>
      </w:r>
    </w:p>
    <w:p>
      <w:r>
        <w:rPr>
          <w:rFonts w:ascii="Arial" w:hAnsi="Arial"/>
          <w:sz w:val="24"/>
        </w:rPr>
        <w:t>→ Aspiración o escleroterapia</w:t>
      </w:r>
    </w:p>
    <w:p>
      <w:pPr>
        <w:pStyle w:val="Heading1"/>
      </w:pPr>
      <w:r>
        <w:rPr>
          <w:rFonts w:ascii="Arial" w:hAnsi="Arial"/>
        </w:rPr>
        <w:t>Referencias</w:t>
      </w:r>
    </w:p>
    <w:p>
      <w:r>
        <w:rPr>
          <w:rFonts w:ascii="Arial" w:hAnsi="Arial"/>
          <w:sz w:val="24"/>
        </w:rPr>
        <w:t>1. Instituto Mexicano del Seguro Social. Guía de Referencia Rápida. Diagnóstico y tratamiento de la persistencia del conducto arterioso en niños, adolescentes y adultos. México: IMSS; 2010. Disponible en: https://www.imss.gob.mx/sites/all/statics/guiasclinicas/380GRR.pdf</w:t>
      </w:r>
    </w:p>
    <w:p>
      <w:r>
        <w:rPr>
          <w:rFonts w:ascii="Arial" w:hAnsi="Arial"/>
          <w:sz w:val="24"/>
        </w:rPr>
        <w:t>2. Arias-de la Garza E, Macías-Parra M, Quinto-Morales G, Castillo-Bejarano JI. Vacunación durante el embarazo. Acta Pediatr Mex. 2018;39(5):314-9.</w:t>
      </w:r>
    </w:p>
    <w:p>
      <w:r>
        <w:rPr>
          <w:rFonts w:ascii="Arial" w:hAnsi="Arial"/>
          <w:sz w:val="24"/>
        </w:rPr>
        <w:t>3. Organización Panamericana de la Salud. México lanza Campaña de Vacunación contra el Virus del Papiloma Humano. Washington, D. C.: OPS; 2024 [consultado 21 sep 2026]. Disponible en: https://www.paho.org/es/noticias/27-9-2024-mexico-lanza-campana-vacunacion-contra-virus-papiloma-humano</w:t>
      </w:r>
    </w:p>
    <w:p>
      <w:r>
        <w:rPr>
          <w:rFonts w:ascii="Arial" w:hAnsi="Arial"/>
          <w:sz w:val="24"/>
        </w:rPr>
        <w:t>4. Comité de Medicamentos de la Asociación Española de Pediatría. Pediamécum: Riboflavina. Madrid: AEP [consultado 21 sep 2026]. Disponible en: https://aeped.es/pediamecum/generatepdf/api?n=83941</w:t>
      </w:r>
    </w:p>
    <w:p>
      <w:r>
        <w:rPr>
          <w:rFonts w:ascii="Arial" w:hAnsi="Arial"/>
          <w:sz w:val="24"/>
        </w:rPr>
        <w:t>5. Secretaría de Salud. Norma Oficial Mexicana NOM-007-SSA2-2016, Para la atención de la mujer durante el embarazo, parto y puerperio, y de la persona recién nacida. Diario Oficial de la Federación. 7 abr 2016.</w:t>
      </w:r>
    </w:p>
    <w:p>
      <w:r>
        <w:rPr>
          <w:rFonts w:ascii="Arial" w:hAnsi="Arial"/>
          <w:sz w:val="24"/>
        </w:rPr>
        <w:t>6. Kliegman RM, St Geme JW, Blum NJ, Shah SS, Tasker RC, Wilson KM. Nelson. Tratado de pediatría. 21.ª ed. Barcelona: Elsevier; 2020.</w:t>
      </w:r>
    </w:p>
    <w:p>
      <w:r>
        <w:rPr>
          <w:rFonts w:ascii="Arial" w:hAnsi="Arial"/>
          <w:sz w:val="24"/>
        </w:rPr>
        <w:t>7. Jameson JL, Fauci AS, Kasper DL, Hauser SL, Longo DL, Loscalzo J. Harrison. Principios de medicina interna. 20.ª ed. México: McGraw-Hill Interamericana; 2018.</w:t>
      </w:r>
    </w:p>
    <w:p>
      <w:r>
        <w:rPr>
          <w:rFonts w:ascii="Arial" w:hAnsi="Arial"/>
          <w:sz w:val="24"/>
        </w:rPr>
        <w:t>8. Cunningham FG, Leveno KJ, Bloom SL, Dashe JS, Hoffman BL, Casey BM, et al. Williams. Obstetricia. 25.ª ed. México: McGraw-Hill Interamericana; 2019.</w:t>
      </w:r>
    </w:p>
    <w:p>
      <w:r>
        <w:rPr>
          <w:rFonts w:ascii="Arial" w:hAnsi="Arial"/>
          <w:sz w:val="24"/>
        </w:rPr>
        <w:t>9. Moreno-Altamirano A, López-Moreno S, Corcho-Berdugo A. Principales medidas en epidemiología. Salud Publica Mex. 2000;42(4):337-48.</w:t>
      </w:r>
    </w:p>
    <w:p>
      <w:r>
        <w:rPr>
          <w:rFonts w:ascii="Arial" w:hAnsi="Arial"/>
          <w:sz w:val="24"/>
        </w:rPr>
        <w:t>10. Gorostidi M, Santamaría R, Alcázar R, Fernández-Fresnedo G, Galcerán JM, Goicoechea M, et al. Documento de la Sociedad Española de Nefrología sobre las guías KDIGO para la evaluación y el tratamiento de la enfermedad renal crónica. Nefrologia. 2014;34(3):302-16.</w:t>
      </w:r>
    </w:p>
    <w:p>
      <w:r>
        <w:rPr>
          <w:rFonts w:ascii="Arial" w:hAnsi="Arial"/>
          <w:sz w:val="24"/>
        </w:rPr>
        <w:t>11. Sadock BJ, Sadock VA, Ruiz P. Kaplan &amp; Sadock. Sinopsis de psiquiatría. 11.ª ed. Barcelona: Wolters Kluwer; 2015.</w:t>
      </w:r>
    </w:p>
    <w:p>
      <w:r>
        <w:rPr>
          <w:rFonts w:ascii="Arial" w:hAnsi="Arial"/>
          <w:sz w:val="24"/>
        </w:rPr>
        <w:t>12. ENARM Master (simulador en línea). Exámenes de simulación 21–22 de septiembre de 2026. Registro propio del Dr. D. N. Kuri González.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