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6 - Mixto (70%, 14/20)</w:t>
      </w:r>
    </w:p>
    <w:p>
      <w:r>
        <w:t>ENARM Master · ID yhgX8ApPfa3vQN2di · Transcripción: pregunta, respuesta correcta y porqué (sin bibliografía).</w:t>
      </w:r>
    </w:p>
    <w:p>
      <w:pPr>
        <w:pStyle w:val="Heading2"/>
      </w:pPr>
      <w:r>
        <w:t>Caso</w:t>
      </w:r>
    </w:p>
    <w:p>
      <w:r>
        <w:t>Paciente femenina de 55 años con antecedentes de hipertensión arterial sistémica de 15 años de evolución y glaucoma de ángulo cerrado diagnosticado hace 3 años, además de diabetes mellitus tipo 2 en adecuado control. Acude al servicio de urgencias refiriendo pérdida súbita e indolora de la visión en el ojo izquierdo, que inició hace 20 minutos. Signos vitales: T 36.5ºC, FC 112 lpm, FR 19 rpm y TA 160/110 mmHg. A la exploración física: paciente consciente, orientada en las tres esferas, con facies angustiada e irritable. Se realiza examen de fondo de ojo, encontrando lo siguiente (ver imagen).</w:t>
      </w:r>
    </w:p>
    <w:p>
      <w:pPr>
        <w:pStyle w:val="Heading3"/>
      </w:pPr>
      <w:r>
        <w:t>1. ¿Cuál es el diagnóstico de la paciente?</w:t>
      </w:r>
    </w:p>
    <w:p>
      <w:r>
        <w:rPr>
          <w:b/>
        </w:rPr>
        <w:t xml:space="preserve">Respuesta correcta: </w:t>
      </w:r>
      <w:r>
        <w:t>Oclusión de la vena central de la retina</w:t>
      </w:r>
    </w:p>
    <w:p>
      <w:r>
        <w:rPr>
          <w:b/>
        </w:rPr>
        <w:t xml:space="preserve">Porqué: </w:t>
      </w:r>
      <w:r>
        <w:t>El diagnóstico de esta paciente es Oclusión de la vena central de la retina, la cual se caracteriza por tener una disminución súbita e indolora de la visión, se relaciona principalmente con el antecedente de HAS.</w:t>
      </w:r>
    </w:p>
    <w:p>
      <w:pPr>
        <w:pStyle w:val="Heading3"/>
      </w:pPr>
      <w:r>
        <w:t>2. ¿Qué hallazgo en el fondo de ojo nos haría sospechar de esta patología?</w:t>
      </w:r>
    </w:p>
    <w:p>
      <w:r>
        <w:rPr>
          <w:b/>
        </w:rPr>
        <w:t xml:space="preserve">Respuesta correcta: </w:t>
      </w:r>
      <w:r>
        <w:t>Hemorragias en flama</w:t>
      </w:r>
    </w:p>
    <w:p>
      <w:r>
        <w:rPr>
          <w:b/>
        </w:rPr>
        <w:t xml:space="preserve">Porqué: </w:t>
      </w:r>
      <w:r>
        <w:t>Dentro de los datos clínicos en el fondo de ojo que podemos encontrar en la oclusión de la vena central de la retina se encuentran: HEMORRAGIAS EN FLAMA, exudados algodonosos, dilatación venosa y edema papilar.</w:t>
      </w:r>
    </w:p>
    <w:p>
      <w:pPr>
        <w:pStyle w:val="Heading3"/>
      </w:pPr>
      <w:r>
        <w:t>3. ¿Cuál de los siguientes no forma parte de los posibles tratamientos en esta entidad?</w:t>
      </w:r>
    </w:p>
    <w:p>
      <w:r>
        <w:rPr>
          <w:b/>
        </w:rPr>
        <w:t xml:space="preserve">Respuesta correcta: </w:t>
      </w:r>
      <w:r>
        <w:t>Paracentesis o masaje ocular</w:t>
      </w:r>
    </w:p>
    <w:p>
      <w:r>
        <w:rPr>
          <w:b/>
        </w:rPr>
        <w:t xml:space="preserve">Porqué: </w:t>
      </w:r>
      <w:r>
        <w:t>Para la oclusión de la vena central de la retina se recomienda la Panfotocoagulación cuando hay datos de neovascularización, además se puede utilizar la Dorzolamida y Anti VFG con vigilancia estrecha. La Paracentesis o masaje ocular forma parte del tratamiento inicial en oclusión de la arteria central de la retina.</w:t>
      </w:r>
    </w:p>
    <w:p>
      <w:pPr>
        <w:pStyle w:val="Heading2"/>
      </w:pPr>
      <w:r>
        <w:t>Caso</w:t>
      </w:r>
    </w:p>
    <w:p>
      <w:r>
        <w:t>Paciente masculino de 58 años, obeso, diabético tipo 2 y fumador, acude a consulta por referir la presencia de una tumoración en la pared abdominal que ha aumentado progresivamente de tamaño en el último año. Tiene antecedentes de cirugía por colecistectomía hace cinco años. El paciente menciona dolor leve ocasional en la zona y sensación de pesadez. A la exploración física, se identifica una protrusión en la línea media infraumbilical, reducible, de aproximadamente 6 cm de diámetro. No presenta signos de estrangulación ni obstrucción intestinal. Se solicita tomografía, la cual muestra un defe</w:t>
      </w:r>
    </w:p>
    <w:p>
      <w:pPr>
        <w:pStyle w:val="Heading3"/>
      </w:pPr>
      <w:r>
        <w:t>4. ¿Cuál es el factor de riesgo más importante para el desarrollo de una hernia incisional en este paciente?</w:t>
      </w:r>
    </w:p>
    <w:p>
      <w:r>
        <w:rPr>
          <w:b/>
        </w:rPr>
        <w:t xml:space="preserve">Respuesta correcta: </w:t>
      </w:r>
      <w:r>
        <w:t>Obesidad</w:t>
      </w:r>
    </w:p>
    <w:p>
      <w:r>
        <w:rPr>
          <w:b/>
        </w:rPr>
        <w:t xml:space="preserve">Porqué: </w:t>
      </w:r>
      <w:r>
        <w:t>La obesidad es uno de los factores de riesgo más importantes para el desarrollo de una hernia incisional, ya que incrementa la presión intraabdominal y afecta la cicatrización. Además, se asocia con una mayor tasa de recurrencia postquirúrgica.</w:t>
      </w:r>
    </w:p>
    <w:p>
      <w:pPr>
        <w:pStyle w:val="Heading3"/>
      </w:pPr>
      <w:r>
        <w:t>5. Según la GPC, ¿Cuál es la técnica quirúrgica de elección para este tipo de hernia con un defecto mayor de 6 cm?</w:t>
      </w:r>
    </w:p>
    <w:p>
      <w:r>
        <w:rPr>
          <w:b/>
        </w:rPr>
        <w:t xml:space="preserve">Respuesta correcta: </w:t>
      </w:r>
      <w:r>
        <w:t>Reparación laparoscópica con malla</w:t>
      </w:r>
    </w:p>
    <w:p>
      <w:r>
        <w:rPr>
          <w:b/>
        </w:rPr>
        <w:t xml:space="preserve">Porqué: </w:t>
      </w:r>
      <w:r>
        <w:t>Para defectos mayores de 6 cm, la GPC recomienda la colocación de una malla para reforzar la pared abdominal, ya sea por abordaje abierto o laparoscópico. La reparación laparoscópica con malla es una opción preferida en pacientes con características adecuadas, ya que reduce el riesgo de infección y dehiscencia.</w:t>
      </w:r>
    </w:p>
    <w:p>
      <w:pPr>
        <w:pStyle w:val="Heading3"/>
      </w:pPr>
      <w:r>
        <w:t>6. ¿Cuál de las siguientes afirmaciones sobre el uso de mallas en la reparación de hernias ventrales es correcta?</w:t>
      </w:r>
    </w:p>
    <w:p>
      <w:r>
        <w:rPr>
          <w:b/>
        </w:rPr>
        <w:t xml:space="preserve">Respuesta correcta: </w:t>
      </w:r>
      <w:r>
        <w:t>Su uso reduce significativamente la tasa de recurrencia</w:t>
      </w:r>
    </w:p>
    <w:p>
      <w:r>
        <w:rPr>
          <w:b/>
        </w:rPr>
        <w:t xml:space="preserve">Porqué: </w:t>
      </w:r>
      <w:r>
        <w:t>La colocación de malla es una de las estrategias más efectivas para reducir la recurrencia de la hernia ventral, incluso en defectos menores a 10 cm. Si bien puede aumentar el riesgo de infección en algunos casos, su beneficio en la reducción de recidivas supera este riesgo en la mayoría de los pacientes.</w:t>
      </w:r>
    </w:p>
    <w:p>
      <w:pPr>
        <w:pStyle w:val="Heading2"/>
      </w:pPr>
      <w:r>
        <w:t>Caso</w:t>
      </w:r>
    </w:p>
    <w:p>
      <w:r>
        <w:t>Paciente femenina de 24 años de edad, estudiante de medicina, acude a consulta por presentar cefalea de cuatro meses de evolución, de carácter continuo y con pobre respuesta a analgésicos comunes, asociada a amenorrea secundaria y galactorrea bilateral espontánea. En las últimas semanas ha notado alteraciones visuales de aparición progresiva, refiriendo dificultad para enfocar y episodios transitorios de visión borrosa. Niega uso de anticonceptivos hormonales, fármacos dopaminérgicos o antipsicóticos, así como antecedentes de patología tiroidea. No refiere síntomas constitucionales ni datos de</w:t>
      </w:r>
    </w:p>
    <w:p>
      <w:pPr>
        <w:pStyle w:val="Heading3"/>
      </w:pPr>
      <w:r>
        <w:t>7. ¿En qué región se localizan las células encargadas de producir prolactina?</w:t>
      </w:r>
    </w:p>
    <w:p>
      <w:r>
        <w:rPr>
          <w:b/>
        </w:rPr>
        <w:t xml:space="preserve">Respuesta correcta: </w:t>
      </w:r>
      <w:r>
        <w:t>Adenohipófisis (lóbulo anterior de la hipófisis)</w:t>
      </w:r>
    </w:p>
    <w:p>
      <w:r>
        <w:rPr>
          <w:b/>
        </w:rPr>
        <w:t xml:space="preserve">Porqué: </w:t>
      </w:r>
      <w:r>
        <w:t>La prolactina se produce en la adenohipófisis (lóbulo anterior de la hipófisis), específicamente por las células lactotropas, su regulación central depende del hipotálamo, que ejerce inhibición tónica a través de dopamina del núcleo arcuato.</w:t>
      </w:r>
    </w:p>
    <w:p>
      <w:pPr>
        <w:pStyle w:val="Heading3"/>
      </w:pPr>
      <w:r>
        <w:t>8. ¿En qué cromosoma se encuentra el gen que codifica la prolactina?</w:t>
      </w:r>
    </w:p>
    <w:p>
      <w:r>
        <w:rPr>
          <w:b/>
        </w:rPr>
        <w:t xml:space="preserve">Respuesta correcta: </w:t>
      </w:r>
      <w:r>
        <w:t>En el cromosoma 6</w:t>
      </w:r>
    </w:p>
    <w:p>
      <w:r>
        <w:rPr>
          <w:b/>
        </w:rPr>
        <w:t xml:space="preserve">Porqué: </w:t>
      </w:r>
      <w:r>
        <w:t>El gen que codifica la prolactina se localiza en el cromosoma 6 y su expresión no se limita a la hipófisis, ya que también se encuentran receptores de prolactina en sitios extrahipofisiarios, incluyendo la glándula mamaria, corazón, pulmón, bazo, útero, hígado, ovario, próstata y cerebro, así como en las células inmunes.</w:t>
      </w:r>
    </w:p>
    <w:p>
      <w:pPr>
        <w:pStyle w:val="Heading3"/>
      </w:pPr>
      <w:r>
        <w:t>9. En la resonancia magnética se observa un prolactinoma de 2.3 cm, aproximadamente, ¿qué valores de prolactina tendrá esta paciente?</w:t>
      </w:r>
    </w:p>
    <w:p>
      <w:r>
        <w:rPr>
          <w:b/>
        </w:rPr>
        <w:t xml:space="preserve">Respuesta correcta: </w:t>
      </w:r>
      <w:r>
        <w:t>Superior a 1000 ng/ml</w:t>
      </w:r>
    </w:p>
    <w:p>
      <w:r>
        <w:rPr>
          <w:b/>
        </w:rPr>
        <w:t xml:space="preserve">Porqué: </w:t>
      </w:r>
      <w:r>
        <w:t>La secreción de prolactina por el prolactinoma se caracteriza por su eficiencia y su proporcionalidad, por regla general, la concentración sérica de prolactina aumenta en relación directa con el tamaño de la adenoma, menores a 1 cm se asocian con valores de prolactina sérica por debajo de 200 ng/ml, entre 1 y 2 cm, suelen dar lugar a valores de entre 200 y 1000 ng/ml y mayores de 2 cm cursan con prolactinemia superior a 1000 ng/ml.</w:t>
      </w:r>
    </w:p>
    <w:p>
      <w:pPr>
        <w:pStyle w:val="Heading2"/>
      </w:pPr>
      <w:r>
        <w:t>Caso</w:t>
      </w:r>
    </w:p>
    <w:p>
      <w:r>
        <w:t>Paciente masculino de 12 años de edad previamente diagnosticado con purpura trombocitopénica autoinmune en quien se realizo esplenectomía electiva hace 8 meses, sin embargo el paciente persiste con recuentos plaquetarios por debajo de 100 mil además de sangrados intermitentes en nariz y equimosis en extremidades sin ser asociados a traumatismos.</w:t>
      </w:r>
    </w:p>
    <w:p>
      <w:pPr>
        <w:pStyle w:val="Heading3"/>
      </w:pPr>
      <w:r>
        <w:t>10. En el paciente candidato a esplenectomía electiva con plaquetas menores a 10 mil ¿Qué tratamiento profiláctico está indicado?</w:t>
      </w:r>
    </w:p>
    <w:p>
      <w:r>
        <w:rPr>
          <w:b/>
        </w:rPr>
        <w:t xml:space="preserve">Respuesta correcta: </w:t>
      </w:r>
      <w:r>
        <w:t>Todos los anteriores</w:t>
      </w:r>
    </w:p>
    <w:p>
      <w:r>
        <w:rPr>
          <w:b/>
        </w:rPr>
        <w:t xml:space="preserve">Porqué: </w:t>
      </w:r>
      <w:r>
        <w:t>Para pacientes con cuentas plaquetarias menores a 10.000 plaquetas está indicada la administración de inmunoglobulinas IV, glucocorticoides e Ig anti D.</w:t>
      </w:r>
    </w:p>
    <w:p>
      <w:pPr>
        <w:pStyle w:val="Heading3"/>
      </w:pPr>
      <w:r>
        <w:t>11. ¿Cuál es el tratamiento de emergencia en el paciente con sangrado severo?</w:t>
      </w:r>
    </w:p>
    <w:p>
      <w:r>
        <w:rPr>
          <w:b/>
        </w:rPr>
        <w:t xml:space="preserve">Respuesta correcta: </w:t>
      </w:r>
      <w:r>
        <w:t>Inmunoglobulina IV</w:t>
      </w:r>
    </w:p>
    <w:p>
      <w:r>
        <w:rPr>
          <w:b/>
        </w:rPr>
        <w:t xml:space="preserve">Porqué: </w:t>
      </w:r>
      <w:r>
        <w:t>La administración de inmunoglobulina IV puede elevar rápidamente la cuenta plaquetaria, pero debe reservarse para el tratamiento de emergencia de sangrado severo o para niños que serán sometidos a procedimientos en los que se espera hemorragia.</w:t>
      </w:r>
    </w:p>
    <w:p>
      <w:pPr>
        <w:pStyle w:val="Heading3"/>
      </w:pPr>
      <w:r>
        <w:t>12. ¿Cuál es la mortalidad de sepsis postesplenectomía?</w:t>
      </w:r>
    </w:p>
    <w:p>
      <w:r>
        <w:rPr>
          <w:b/>
        </w:rPr>
        <w:t xml:space="preserve">Respuesta correcta: </w:t>
      </w:r>
      <w:r>
        <w:t>80%</w:t>
      </w:r>
    </w:p>
    <w:p>
      <w:r>
        <w:rPr>
          <w:b/>
        </w:rPr>
        <w:t xml:space="preserve">Porqué: </w:t>
      </w:r>
      <w:r>
        <w:t>La sepsis post esplenectomía tiene una mortalidad del 80% el riesgo es mayor durante los primeros dos años, pero persiste durante toda la vida.</w:t>
      </w:r>
    </w:p>
    <w:p>
      <w:pPr>
        <w:pStyle w:val="Heading2"/>
      </w:pPr>
      <w:r>
        <w:t>Caso</w:t>
      </w:r>
    </w:p>
    <w:p>
      <w:r>
        <w:t xml:space="preserve">Un hombre de 72 años es traído a la clínica desde un refugio para indigentes cercano debido a la astenia y la disnea progresiva. El paciente afirma que tuvo antecedentes de hemoptisis y sudores nocturnos hace muchos años que se resolvieron con un tratamiento prolongado de medicamentos recibidos en un centro de salud. La temperatura es de 36 °C, el pulso es de 122/min, la respiración es de 16/min y la presión arterial es de 120/60 mmHg. La exploración física muestra un edema 3+ en las extremidades inferiores y hepatomegalia. La exploración del cuello revela una distensión venosa yugular que no </w:t>
      </w:r>
    </w:p>
    <w:p>
      <w:pPr>
        <w:pStyle w:val="Heading3"/>
      </w:pPr>
      <w:r>
        <w:t>13. ¿Qué padecimiento estará causando la sintomatología del paciente?</w:t>
      </w:r>
    </w:p>
    <w:p>
      <w:r>
        <w:rPr>
          <w:b/>
        </w:rPr>
        <w:t xml:space="preserve">Respuesta correcta: </w:t>
      </w:r>
      <w:r>
        <w:t>Pericartidis constrictiva</w:t>
      </w:r>
    </w:p>
    <w:p>
      <w:r>
        <w:rPr>
          <w:b/>
        </w:rPr>
        <w:t xml:space="preserve">Porqué: </w:t>
      </w:r>
      <w:r>
        <w:t>El cuadro clínico inicial de este paciente es consistente con una pericarditis constrictiva, una afección caracterizada por el llenado incompleto de las cámaras cardíacas debido al engrosamiento del pericardio (visto como una línea de calcificaciones sobre el borde del corazón en la radiografía torácica). Este paciente sin hogar probablemente tenía antecedentes previos de infección por tuberculosis (hemoptisis, sudores nocturnos), una causa común de pericarditis constrictiva. Otras causas de miocardiopatía constrictiva son la cirugía o la radiación cardíaca, los trastornos del tejido conjuntivo y otras causas diversas (p. ej., neoplasias, traumatismos, fármacos, sarcoidosis y pericarditis urémica). Obsérvese que algunas de las causas son comunes tanto a la miocardiopatía restrictiva como a la pericarditis constrictiva. El engrosamiento fibroso del pericardio forma una cubierta rígida y poco flexible del corazón, lo que provoca un deterioro progresivo del llenado cardíaco con el consiguiente bajo gasto cardíaco. La alteración del llenado del corazón da lugar a signos y síntomas progresivos de insuficiencia cardíaca predominantemente derecha (p. ej., edema con fóvea de las extremidades inferiores, hepatomegalia). Los pacientes suelen presentar una sobrecarga de líquidos, que va desde el edema periférico hasta la anasarca, y síntomas relacionados con el bajo gasto cardíaco, como astenia y disnea de esfuerzo. En la exploración física, la mayoría de los pacientes muestran una presión venosa yugular elevada. Otras características menos comunes son el pulso paradójico, el signo de Kussmaul (aumento o falta de disminución de la PVY durante la inspiración), chasquido pericárdico, edema periférico, ascitis y/o caquexia. El chasquido pericárdico es una característica única que puede escucharse durante la diástole temprana. El sonido corresponde al cese abrupto del llenado ventricular debido a un pericardio constrictivo. El trazado del pulso venoso yugular suele revelar descenso prominente en x e y, que se correlaciona con el desplazamiento hacia abajo de las válvulas tricúspides cerradas durante la expulsión ventricular rápida y el vaciado de la aurícula derecha, respectivamente.</w:t>
      </w:r>
    </w:p>
    <w:p>
      <w:pPr>
        <w:pStyle w:val="Heading2"/>
      </w:pPr>
      <w:r>
        <w:t>Caso</w:t>
      </w:r>
    </w:p>
    <w:p>
      <w:r>
        <w:t xml:space="preserve">Paciente femenino de 56 años, antecedente de obesidad e hipertensión arterial sistémica, acude a consulta por cuadro de 2 semanas de evolución caracterizado por rigidez matutina de rodilla derecha con duración aproximada de 15 minutos, asociada a dolor que aumenta con el movimiento y disminuye con el reposo, refiere de igual manera un “bloqueo de la rodilla” cuando pasa de estar en decúbito supino a sedestación, refiere impacto en actividades recreaciones. A la exploración física FC 70 lpm, FR 18 rpm, TA 148/86 mmHg, T 36.6 ºC, alerta y cooperadora, orientada en sus 3 esferas, rodilla derecha </w:t>
      </w:r>
    </w:p>
    <w:p>
      <w:pPr>
        <w:pStyle w:val="Heading3"/>
      </w:pPr>
      <w:r>
        <w:t>14. Con relación a toxicidad, ¿cuál de los siguientes fármacos presenta la más baja?</w:t>
      </w:r>
    </w:p>
    <w:p>
      <w:r>
        <w:rPr>
          <w:b/>
        </w:rPr>
        <w:t xml:space="preserve">Respuesta correcta: </w:t>
      </w:r>
      <w:r>
        <w:t>Ibuprofeno</w:t>
      </w:r>
    </w:p>
    <w:p>
      <w:r>
        <w:rPr>
          <w:b/>
        </w:rPr>
        <w:t xml:space="preserve">Porqué: </w:t>
      </w:r>
      <w:r>
        <w:t>No se ha demostrado que un AINE sea mejor a otro en el control sintomático. Sin embargo, con relación a toxicidad, esta es baja en el ibuprofeno en dosis &lt;1,500 mg/día, intermedia para el naproxeno y diclofenaco, y elevada para el piroxicam, ketoprofeno y ketorolaco.</w:t>
      </w:r>
    </w:p>
    <w:p>
      <w:pPr>
        <w:pStyle w:val="Heading3"/>
      </w:pPr>
      <w:r>
        <w:t>15. Durante el uso de antiinflamatorios no esteroideos, ¿qué grupo farmacológico se considera factor de riesgo gastroduodenal si se ha consumido previamente?</w:t>
      </w:r>
    </w:p>
    <w:p>
      <w:r>
        <w:rPr>
          <w:b/>
        </w:rPr>
        <w:t xml:space="preserve">Respuesta correcta: </w:t>
      </w:r>
      <w:r>
        <w:t>Anticoagulantes</w:t>
      </w:r>
    </w:p>
    <w:p>
      <w:r>
        <w:rPr>
          <w:b/>
        </w:rPr>
        <w:t xml:space="preserve">Porqué: </w:t>
      </w:r>
      <w:r>
        <w:t>Los factores de riesgo (moderado y alto) para sangrado gastrointestinal, durante el uso de AINES en pacientes con osteoartrosis de rodilla son: edad &gt;60 años, historia previa de úlcera péptica, historia de hemorragia de tubo digestivo alto, enfermedades sistémicas concomitantes, uso de esteroides orales y uso de anticoagulantes.</w:t>
      </w:r>
    </w:p>
    <w:p>
      <w:pPr>
        <w:pStyle w:val="Heading3"/>
      </w:pPr>
      <w:r>
        <w:t>16. ¿Cuál es la dosis de famotidina como protector de la mucosa gástrica?</w:t>
      </w:r>
    </w:p>
    <w:p>
      <w:r>
        <w:rPr>
          <w:b/>
        </w:rPr>
        <w:t xml:space="preserve">Respuesta correcta: </w:t>
      </w:r>
      <w:r>
        <w:t>40 mg/día</w:t>
      </w:r>
    </w:p>
    <w:p>
      <w:r>
        <w:rPr>
          <w:b/>
        </w:rPr>
        <w:t xml:space="preserve">Porqué: </w:t>
      </w:r>
      <w:r>
        <w:t>Se recomienda el uso profiláctico de protectores de la mucosa gástrica en pacientes con osteoartrosis de rodilla que presenten úlcera gástrica en las siguientes dosis: omeprazol 20 mg/día, misoprostol 400-800 mcg/día, famotidina 40 mg/día y ranitidina 300 mg/día. No se recomienda indicar tratamiento con AINES a pacientes que recientemente hayan sido sometidos a cirugía de revascularización o colocación de bypass coronario.</w:t>
      </w:r>
    </w:p>
    <w:p>
      <w:pPr>
        <w:pStyle w:val="Heading2"/>
      </w:pPr>
      <w:r>
        <w:t>Caso</w:t>
      </w:r>
    </w:p>
    <w:p>
      <w:r>
        <w:t>Paciente masculino de 38.2 semanas de gestación, obtenido por cesárea. Hijo de madre con diagnóstico de diabetes durante la gestación y asma. Horas posterior a su nacimiento comienza con datos de dificultad respiratoria y taquipnea, acompañado de aleteo nasal y retracción xifoidea moderada y cianosis. Se hace diagnóstico de síndrome de dificultad respiratoria tipo 2.</w:t>
      </w:r>
    </w:p>
    <w:p>
      <w:pPr>
        <w:pStyle w:val="Heading3"/>
      </w:pPr>
      <w:r>
        <w:t>17. En base a la sospecha diagnóstica. ¿Cuál de las siguientes es una característica de esta patología?</w:t>
      </w:r>
    </w:p>
    <w:p>
      <w:r>
        <w:rPr>
          <w:b/>
        </w:rPr>
        <w:t xml:space="preserve">Respuesta correcta: </w:t>
      </w:r>
      <w:r>
        <w:t>El evento dura menos de 72 horas</w:t>
      </w:r>
    </w:p>
    <w:p>
      <w:r>
        <w:rPr>
          <w:b/>
        </w:rPr>
        <w:t xml:space="preserve">Porqué: </w:t>
      </w:r>
      <w:r>
        <w:t>La taquipnea transitoria del recién nacido es un padecimiento que en la mayoría de las ocasiones se autolimita entre las 24 y 72 horas después del nacimiento, la biometría hemática no tiene utilidad diagnostica, la radiografía muestra imágenes de atrapamiento de aire.</w:t>
      </w:r>
    </w:p>
    <w:p>
      <w:pPr>
        <w:pStyle w:val="Heading3"/>
      </w:pPr>
      <w:r>
        <w:t>18. ¿Cuáles son los beneficios del uso del CPAP en pacientes con taquipnea transitoria del recién nacido?</w:t>
      </w:r>
    </w:p>
    <w:p>
      <w:r>
        <w:rPr>
          <w:b/>
        </w:rPr>
        <w:t xml:space="preserve">Respuesta correcta: </w:t>
      </w:r>
      <w:r>
        <w:t>Preserva el surfactante endógeno</w:t>
      </w:r>
    </w:p>
    <w:p>
      <w:r>
        <w:rPr>
          <w:b/>
        </w:rPr>
        <w:t xml:space="preserve">Porqué: </w:t>
      </w:r>
      <w:r>
        <w:t>Efectos benéficos con el uso de CPAP en el recién nacido: Aumenta el volumen pulmonar, Aumenta el volumen pulmonar residual, Mejora el intercambio gaseoso, Aumenta la PaO2 y disminuye la PCO2, Prevenir el colapso alveolar durante la espiración, Preserva el surfactante endógeno, Reduce el desequilibrio entre ventilación/perfusión, Mejora la oxigenación, Reduce el trabajo respiratorio, Estabiliza el patrón respiratorio. Aumenta PCO2 y disminuye PaO2 (es incorrecta ya que disminuye PCO2 y aumenta PaO2) Prevenir el colapso alveolar durante la inspiración (es incorrecta ya que lo previene durante la espiración, no como lo dice en el enunciado) Disminuye el volumen pulmonar residual (es incorrecta ya que aumenta el volumen pulmonar)</w:t>
      </w:r>
    </w:p>
    <w:p>
      <w:pPr>
        <w:pStyle w:val="Heading2"/>
      </w:pPr>
      <w:r>
        <w:t>Caso</w:t>
      </w:r>
    </w:p>
    <w:p>
      <w:r>
        <w:t>Una mujer de 38 años acude a una clínica de salud pública para participar en un programa de detección de enfermedades crónicas. En sus antecedentes familiares se reporta que su padre tuvo hipertensión arterial a los 55 años, y en los antecedentes personales no patológicos refiere que nunca ha fumado, su alimentación es hipercalórica con predominio de ultraprocesados y realiza escasa actividad física. En los antecedentes patológicos se sabe que fue diagnosticada con síndrome de ovario poliquístico a los 28 años, actualmente en manejo con metformina 850 mg cada 12 horas. Durante el programa de d</w:t>
      </w:r>
    </w:p>
    <w:p>
      <w:pPr>
        <w:pStyle w:val="Heading3"/>
      </w:pPr>
      <w:r>
        <w:t>19. ¿Cuál es la definición de prevalencia en epidemiología?</w:t>
      </w:r>
    </w:p>
    <w:p>
      <w:r>
        <w:rPr>
          <w:b/>
        </w:rPr>
        <w:t xml:space="preserve">Respuesta correcta: </w:t>
      </w:r>
      <w:r>
        <w:t>La proporción de individuos que presentan la enfermedad en un momento o periodo determinado, incluyendo casos antiguos y nuevos</w:t>
      </w:r>
    </w:p>
    <w:p>
      <w:r>
        <w:rPr>
          <w:b/>
        </w:rPr>
        <w:t xml:space="preserve">Porqué: </w:t>
      </w:r>
      <w:r>
        <w:t>La prevalencia se define como la proporción de personas que presentan la enfermedad en un momento específico o en un periodo dado, sin importar si son casos recientes o antiguos. Por lo tanto, incluye a todos los casos existentes. La incidencia, en contraste, solo considera los casos nuevos y refleja el riesgo de aparición de la enfermedad. La prevalencia se usa para estimar la carga de enfermedad en una población, útil para planificación de recursos sanitarios. La tasa de mortalidad no mide enfermedad sino defunciones, y la probabilidad de desarrollar una enfermedad corresponde al concepto de incidencia acumulada.</w:t>
      </w:r>
    </w:p>
    <w:p>
      <w:pPr>
        <w:pStyle w:val="Heading3"/>
      </w:pPr>
      <w:r>
        <w:t>20. Con los datos del caso, ¿cuál es la prevalencia puntual de diabetes en esta comunidad?</w:t>
      </w:r>
    </w:p>
    <w:p>
      <w:r>
        <w:rPr>
          <w:b/>
        </w:rPr>
        <w:t xml:space="preserve">Respuesta correcta: </w:t>
      </w:r>
      <w:r>
        <w:t>0.14</w:t>
      </w:r>
    </w:p>
    <w:p>
      <w:r>
        <w:rPr>
          <w:b/>
        </w:rPr>
        <w:t xml:space="preserve">Porqué: </w:t>
      </w:r>
      <w:r>
        <w:t>La fórmula de la prevalencia es: Prevalencia = (Número total de casos existentes) / (Población total en ese momento) Sustituyendo los valores: Prevalencia = 350 / 2 500 Prevalencia = 0.14 Esto corresponde a 14% de la población con diabetes mellitus tipo 2 en ese punto en el tiempo. Los otros valores no son correctos porque representan cocientes distintos: 0.12 implicaría 300 casos, 0.18 implicaría 450 casos y 0.25 implicaría 625 casos. Solo 0.14 corresponde al cálculo con los datos reales.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