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HOSPITAL DE SALUD MENTAL ORIZABA</w:t>
      </w:r>
    </w:p>
    <w:p>
      <w:pPr>
        <w:jc w:val="center"/>
      </w:pPr>
      <w:r>
        <w:rPr>
          <w:b/>
          <w:sz w:val="26"/>
        </w:rPr>
        <w:t>SERVICIOS DE SALUD DE VERACRUZ</w:t>
      </w:r>
    </w:p>
    <w:p>
      <w:pPr>
        <w:jc w:val="center"/>
      </w:pPr>
      <w:r>
        <w:rPr>
          <w:b/>
          <w:sz w:val="28"/>
        </w:rPr>
        <w:t>HOJA DE EGRESO HOSPITALARIO</w:t>
      </w:r>
    </w:p>
    <w:p/>
    <w:p>
      <w:r>
        <w:rPr>
          <w:b/>
          <w:sz w:val="23"/>
          <w:u w:val="single"/>
        </w:rPr>
        <w:t>DATOS DEL PACIENTE</w:t>
      </w:r>
    </w:p>
    <w:p>
      <w:r>
        <w:rPr>
          <w:b/>
        </w:rPr>
        <w:t xml:space="preserve">Nombre: </w:t>
      </w:r>
      <w:r>
        <w:t>MARÍA TERESA TREJO DÍAZ</w:t>
      </w:r>
    </w:p>
    <w:p>
      <w:r>
        <w:rPr>
          <w:b/>
        </w:rPr>
        <w:t xml:space="preserve">Edad: </w:t>
      </w:r>
      <w:r>
        <w:t>45 años</w:t>
      </w:r>
    </w:p>
    <w:p>
      <w:r>
        <w:rPr>
          <w:b/>
        </w:rPr>
        <w:t xml:space="preserve">Sexo: </w:t>
      </w:r>
      <w:r>
        <w:t>Femenino</w:t>
      </w:r>
    </w:p>
    <w:p>
      <w:r>
        <w:rPr>
          <w:b/>
        </w:rPr>
        <w:t xml:space="preserve">Fecha de nacimiento: </w:t>
      </w:r>
      <w:r>
        <w:t>18/06/1981</w:t>
      </w:r>
    </w:p>
    <w:p>
      <w:r>
        <w:rPr>
          <w:b/>
        </w:rPr>
        <w:t xml:space="preserve">No. de expediente: </w:t>
      </w:r>
      <w:r>
        <w:t>26-1319</w:t>
      </w:r>
    </w:p>
    <w:p>
      <w:r>
        <w:rPr>
          <w:b/>
        </w:rPr>
        <w:t xml:space="preserve">Servicio: </w:t>
      </w:r>
      <w:r>
        <w:t>Hospitalización Mujeres (UCEP)</w:t>
      </w:r>
    </w:p>
    <w:p>
      <w:r>
        <w:rPr>
          <w:b/>
        </w:rPr>
        <w:t xml:space="preserve">Derechohabiente: </w:t>
      </w:r>
      <w:r>
        <w:t>IMSS (NSS 6793733075) / Población abierta</w:t>
      </w:r>
    </w:p>
    <w:p/>
    <w:p>
      <w:r>
        <w:rPr>
          <w:b/>
          <w:sz w:val="23"/>
          <w:u w:val="single"/>
        </w:rPr>
        <w:t>DATOS DE INTERNAMIENTO</w:t>
      </w:r>
    </w:p>
    <w:p>
      <w:r>
        <w:rPr>
          <w:b/>
        </w:rPr>
        <w:t xml:space="preserve">Fecha de ingreso: </w:t>
      </w:r>
      <w:r>
        <w:t>08/08/2026 (19:28 hrs, vía Urgencias)</w:t>
      </w:r>
    </w:p>
    <w:p>
      <w:r>
        <w:rPr>
          <w:b/>
        </w:rPr>
        <w:t xml:space="preserve">Fecha de egreso: </w:t>
      </w:r>
      <w:r>
        <w:t>24/08/2026</w:t>
      </w:r>
    </w:p>
    <w:p>
      <w:r>
        <w:rPr>
          <w:b/>
        </w:rPr>
        <w:t xml:space="preserve">Días de estancia: </w:t>
      </w:r>
      <w:r>
        <w:t>16 días</w:t>
      </w:r>
    </w:p>
    <w:p>
      <w:r>
        <w:rPr>
          <w:b/>
        </w:rPr>
        <w:t xml:space="preserve">Médico responsable: </w:t>
      </w:r>
      <w:r>
        <w:t>Dra. Paola Piedad Hernández Trujillo — Céd. Prof. 8599465</w:t>
      </w:r>
    </w:p>
    <w:p/>
    <w:p>
      <w:r>
        <w:rPr>
          <w:b/>
          <w:sz w:val="23"/>
          <w:u w:val="single"/>
        </w:rPr>
        <w:t>DIAGNÓSTICOS</w:t>
      </w:r>
    </w:p>
    <w:p>
      <w:r>
        <w:rPr>
          <w:b/>
        </w:rPr>
        <w:t xml:space="preserve">Ingreso: </w:t>
      </w:r>
      <w:r>
        <w:t>F20.0 Esquizofrenia paranoide vs F25.0 Trastorno esquizoafectivo.</w:t>
      </w:r>
    </w:p>
    <w:p>
      <w:r>
        <w:rPr>
          <w:b/>
        </w:rPr>
        <w:t xml:space="preserve">Egreso (definitivo): </w:t>
      </w:r>
      <w:r>
        <w:t>F20.0 Esquizofrenia paranoide.</w:t>
      </w:r>
    </w:p>
    <w:p/>
    <w:p>
      <w:r>
        <w:rPr>
          <w:b/>
          <w:sz w:val="23"/>
          <w:u w:val="single"/>
        </w:rPr>
        <w:t>RESUMEN DEL INTERNAMIENTO</w:t>
      </w:r>
    </w:p>
    <w:p>
      <w:r>
        <w:rPr>
          <w:b w:val="0"/>
        </w:rPr>
        <w:t>Paciente femenina de 45 años de edad, con antecedente de esquema de planificación familiar con DIU, sin alergias a medicamentos. Acude a Urgencias el 08/08/2026 por ideación de muerte de tipo pasivo-activo (verbaliza "y si me cuelgo"), ansiedad y desorganización conductual. A su ingreso se encuentra alerta, orientada parcialmente, con afecto hipertímico, juicio con fallas y pobre proyección a futuro, sin datos de heteroagresividad.</w:t>
      </w:r>
    </w:p>
    <w:p>
      <w:r>
        <w:rPr>
          <w:b w:val="0"/>
        </w:rPr>
        <w:t>Se integra internamiento a UCEP Hospitalización Mujeres por primer episodio de internamiento psiquiátrico del año. Durante su estancia se inició y escalonó tratamiento farmacológico conforme a GPC (valproato de magnesio, paroxetina, quetiapina, pregabalina y alprazolam), con adecuada tolerancia por vía oral, sin efectos adversos a psicofármacos y sin eventualidades de manejo. Evolución favorable: pensamiento lineal, juicio apegado a la realidad, sin ideación delirante ni suicida activa al egreso, sueño y apetito conservados, control de impulsos adecuado.</w:t>
      </w:r>
    </w:p>
    <w:p>
      <w:r>
        <w:rPr>
          <w:b w:val="0"/>
        </w:rPr>
        <w:t>Estudios complementarios: prueba de embarazo negativa, VIH no reactivo (0.173 COI), VDRL no reactivo, perfil hepático sin alteraciones (ALT 12.6 U/L, bilirrubina total 0.47 mg/dL, DHL 184.2 U/L), Albúmina 4.0 g/dL.</w:t>
      </w:r>
    </w:p>
    <w:p/>
    <w:p>
      <w:r>
        <w:rPr>
          <w:b/>
          <w:sz w:val="23"/>
          <w:u w:val="single"/>
        </w:rPr>
        <w:t>TRATAMIENTO FARMACOLÓGICO AL EGRESO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Medicamento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2160"/>
          </w:tcPr>
          <w:p>
            <w:r>
              <w:t>Valproato de magnesio</w:t>
            </w:r>
          </w:p>
        </w:tc>
        <w:tc>
          <w:tcPr>
            <w:tcW w:type="dxa" w:w="2160"/>
          </w:tcPr>
          <w:p>
            <w:r>
              <w:t>200 mg (1 tab)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1-1-2 (mañana-tarde-noche)</w:t>
            </w:r>
          </w:p>
        </w:tc>
      </w:tr>
      <w:tr>
        <w:tc>
          <w:tcPr>
            <w:tcW w:type="dxa" w:w="2160"/>
          </w:tcPr>
          <w:p>
            <w:r>
              <w:t>Paroxetina</w:t>
            </w:r>
          </w:p>
        </w:tc>
        <w:tc>
          <w:tcPr>
            <w:tcW w:type="dxa" w:w="2160"/>
          </w:tcPr>
          <w:p>
            <w:r>
              <w:t>20 mg (1 tab)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1-0-1</w:t>
            </w:r>
          </w:p>
        </w:tc>
      </w:tr>
      <w:tr>
        <w:tc>
          <w:tcPr>
            <w:tcW w:type="dxa" w:w="2160"/>
          </w:tcPr>
          <w:p>
            <w:r>
              <w:t>Quetiapina</w:t>
            </w:r>
          </w:p>
        </w:tc>
        <w:tc>
          <w:tcPr>
            <w:tcW w:type="dxa" w:w="2160"/>
          </w:tcPr>
          <w:p>
            <w:r>
              <w:t>100 mg (2 tabs)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2-1-2</w:t>
            </w:r>
          </w:p>
        </w:tc>
      </w:tr>
      <w:tr>
        <w:tc>
          <w:tcPr>
            <w:tcW w:type="dxa" w:w="2160"/>
          </w:tcPr>
          <w:p>
            <w:r>
              <w:t>Alprazolam</w:t>
            </w:r>
          </w:p>
        </w:tc>
        <w:tc>
          <w:tcPr>
            <w:tcW w:type="dxa" w:w="2160"/>
          </w:tcPr>
          <w:p>
            <w:r>
              <w:t>2 mg (1 tab)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0-0-1 (una tableta en la noche)</w:t>
            </w:r>
          </w:p>
        </w:tc>
      </w:tr>
      <w:tr>
        <w:tc>
          <w:tcPr>
            <w:tcW w:type="dxa" w:w="2160"/>
          </w:tcPr>
          <w:p>
            <w:r>
              <w:t>Pregabalina</w:t>
            </w:r>
          </w:p>
        </w:tc>
        <w:tc>
          <w:tcPr>
            <w:tcW w:type="dxa" w:w="2160"/>
          </w:tcPr>
          <w:p>
            <w:r>
              <w:t>75 mg (1 tab)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0-0-1</w:t>
            </w:r>
          </w:p>
        </w:tc>
      </w:tr>
      <w:tr>
        <w:tc>
          <w:tcPr>
            <w:tcW w:type="dxa" w:w="2160"/>
          </w:tcPr>
          <w:p>
            <w:r>
              <w:t>Senósidos A-B</w:t>
            </w:r>
          </w:p>
        </w:tc>
        <w:tc>
          <w:tcPr>
            <w:tcW w:type="dxa" w:w="2160"/>
          </w:tcPr>
          <w:p>
            <w:r>
              <w:t>8.6 mg (1 tab)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1-0-1</w:t>
            </w:r>
          </w:p>
        </w:tc>
      </w:tr>
      <w:tr>
        <w:tc>
          <w:tcPr>
            <w:tcW w:type="dxa" w:w="2160"/>
          </w:tcPr>
          <w:p>
            <w:r>
              <w:t>Psyllium plantago (plantago ovata)</w:t>
            </w:r>
          </w:p>
        </w:tc>
        <w:tc>
          <w:tcPr>
            <w:tcW w:type="dxa" w:w="2160"/>
          </w:tcPr>
          <w:p>
            <w:r>
              <w:t>1 cucharada en agua</w:t>
            </w:r>
          </w:p>
        </w:tc>
        <w:tc>
          <w:tcPr>
            <w:tcW w:type="dxa" w:w="2160"/>
          </w:tcPr>
          <w:p>
            <w:r>
              <w:t>Oral</w:t>
            </w:r>
          </w:p>
        </w:tc>
        <w:tc>
          <w:tcPr>
            <w:tcW w:type="dxa" w:w="2160"/>
          </w:tcPr>
          <w:p>
            <w:r>
              <w:t>1 vez al día</w:t>
            </w:r>
          </w:p>
        </w:tc>
      </w:tr>
    </w:tbl>
    <w:p/>
    <w:p>
      <w:r>
        <w:rPr>
          <w:b/>
          <w:sz w:val="23"/>
          <w:u w:val="single"/>
        </w:rPr>
        <w:t>INDICACIONES Y RECOMENDACIONES AL EGRESO</w:t>
      </w:r>
    </w:p>
    <w:p>
      <w:pPr>
        <w:pStyle w:val="ListBullet"/>
      </w:pPr>
      <w:r>
        <w:t>Continuar tratamiento farmacológico conforme a prescripción, sin suspender por propia decisión.</w:t>
      </w:r>
    </w:p>
    <w:p>
      <w:pPr>
        <w:pStyle w:val="ListBullet"/>
      </w:pPr>
      <w:r>
        <w:t>Acudir a valoración de seguimiento en Consulta Externa de Salud Mental conforme a cita otorgada.</w:t>
      </w:r>
    </w:p>
    <w:p>
      <w:pPr>
        <w:pStyle w:val="ListBullet"/>
      </w:pPr>
      <w:r>
        <w:t>Dieta normal, con adecuada ingesta hídrica.</w:t>
      </w:r>
    </w:p>
    <w:p>
      <w:pPr>
        <w:pStyle w:val="ListBullet"/>
      </w:pPr>
      <w:r>
        <w:t>Vigilancia estrecha familiar las 24 horas.</w:t>
      </w:r>
    </w:p>
    <w:p>
      <w:pPr>
        <w:pStyle w:val="ListBullet"/>
      </w:pPr>
      <w:r>
        <w:t>Terapia psicoeducativa familiar y participación en sesiones de terapia grupal si le son programadas.</w:t>
      </w:r>
    </w:p>
    <w:p>
      <w:pPr>
        <w:pStyle w:val="ListBullet"/>
      </w:pPr>
      <w:r>
        <w:t>Evitar consumo de alcohol y sustancias psicoactivas.</w:t>
      </w:r>
    </w:p>
    <w:p/>
    <w:p>
      <w:r>
        <w:rPr>
          <w:b/>
          <w:sz w:val="23"/>
          <w:u w:val="single"/>
        </w:rPr>
        <w:t>SIGNOS DE ALARMA (ACUDIR URGENTEMENTE)</w:t>
      </w:r>
    </w:p>
    <w:p>
      <w:pPr>
        <w:pStyle w:val="ListBullet"/>
      </w:pPr>
      <w:r>
        <w:t>Reaparición de ideación suicida o de autoagresión.</w:t>
      </w:r>
    </w:p>
    <w:p>
      <w:pPr>
        <w:pStyle w:val="ListBullet"/>
      </w:pPr>
      <w:r>
        <w:t>Agitación psicomotriz importante o conducta heteroagresiva.</w:t>
      </w:r>
    </w:p>
    <w:p>
      <w:pPr>
        <w:pStyle w:val="ListBullet"/>
      </w:pPr>
      <w:r>
        <w:t>Sedación excesiva, rigidez, temblor grueso o fiebre (sospecha de efecto adverso a antipsicótico).</w:t>
      </w:r>
    </w:p>
    <w:p>
      <w:pPr>
        <w:pStyle w:val="ListBullet"/>
      </w:pPr>
      <w:r>
        <w:t>Somnolencia excesiva, vómito o ataxia (sospecha de toxicidad por valproato).</w:t>
      </w:r>
    </w:p>
    <w:p>
      <w:pPr>
        <w:pStyle w:val="ListBullet"/>
      </w:pPr>
      <w:r>
        <w:t>Deterioro abrupto del estado de conciencia.</w:t>
      </w:r>
    </w:p>
    <w:p/>
    <w:p>
      <w:r>
        <w:rPr>
          <w:b/>
        </w:rPr>
        <w:t xml:space="preserve">PRONÓSTICO: </w:t>
      </w:r>
      <w:r>
        <w:t>Reservado a evolución.</w:t>
      </w:r>
    </w:p>
    <w:p/>
    <w:p>
      <w:r>
        <w:t>Dr. Jorge Vázquez Ahuatzi — Céd. Prof. 13390530 — Medicina Familiar</w:t>
      </w:r>
    </w:p>
    <w:p/>
    <w:p>
      <w:r>
        <w:t>____________________________________________________________</w:t>
      </w:r>
    </w:p>
    <w:p>
      <w:pPr>
        <w:jc w:val="center"/>
      </w:pPr>
      <w:r>
        <w:t>ORIZABA, VERACRUZ, 24 DE AGOSTO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