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Entrenamiento ENARM — Pediatría</w:t>
      </w:r>
    </w:p>
    <w:p>
      <w:pPr>
        <w:pStyle w:val="Heading2"/>
      </w:pPr>
      <w:r>
        <w:t>Sesión de mañana (2 temas) — 14 de julio de 2026</w:t>
      </w:r>
    </w:p>
    <w:p>
      <w:pPr>
        <w:pStyle w:val="Heading1"/>
      </w:pPr>
      <w:r>
        <w:t>Tema 1: Bronquiolitis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Niños menores de 2 años, pico 3-6 meses. 90% hospitalizaciones &lt;12 meses. Causa más frecuente de hospitalización en lactantes. Invierno.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Incubación VSR 4-6 días. Rinorrea y tos inicial, progresa en 3-7 días a sibilancias.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Inflamación, edema y necrosis de bronquiolos. Aumento de moco y broncoespasmo. Atrapamiento aéreo.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Tos, rinorrea, coriza, sibilancias, fiebre leve, retracciones. Severas: cianosis.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Clínico. Oximetría obligatoria. RX: hiperexpansión, aplanamiento diafragmático.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Oxígeno, hidratación, salina hipertónica 3% nebulizada, paracetamol. Salbutamol solo si atopia. NO corticoides/antibióticos.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Asma, neumonía, aspiración cuerpo extraño, crup.</w:t>
            </w:r>
          </w:p>
        </w:tc>
      </w:tr>
    </w:tbl>
    <w:p>
      <w:pPr>
        <w:pStyle w:val="Heading3"/>
      </w:pPr>
      <w:r>
        <w:t>Prevención</w:t>
      </w:r>
    </w:p>
    <w:p>
      <w:r>
        <w:t>Palivizumab: anticuerpo monoclonal anti-VSR. Mensual. Indicado en: displasia broncopulmonar, bajo peso, cardiopatías congénitas.</w:t>
      </w:r>
    </w:p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masculino de 4 meses, pretérmino 32 sem, diciembre, rinorrea+tos+dificultad respiratoria 4 días. FR 62, SatO2 90%, sibilancias, retracciones. ¿Diagnóstico?</w:t>
      </w:r>
    </w:p>
    <w:p>
      <w:r>
        <w:t>A) Asma bronquial</w:t>
      </w:r>
    </w:p>
    <w:p>
      <w:r>
        <w:t>B) Bronquiolitis</w:t>
      </w:r>
    </w:p>
    <w:p>
      <w:r>
        <w:t>C) Neumonía bacteriana</w:t>
      </w:r>
    </w:p>
    <w:p>
      <w:r>
        <w:t>D) Laringotraqueobronquitis</w:t>
      </w:r>
    </w:p>
    <w:p>
      <w:r>
        <w:rPr>
          <w:b/>
        </w:rPr>
        <w:t>Respuesta: B</w:t>
      </w:r>
    </w:p>
    <w:p>
      <w:r>
        <w:t>Explicación: Lactante &lt;6 meses, pretérmino, invierno, VSR 4-6 días incubación, sibilancias. Asma menos probable sin atopia. Neumonía: fiebre alta, toxemia. Crup: estridor.</w:t>
      </w:r>
    </w:p>
    <w:p>
      <w:r>
        <w:rPr>
          <w:b/>
        </w:rPr>
        <w:t xml:space="preserve">Sesgo que activa: </w:t>
      </w:r>
      <w:r>
        <w:t>Cierre prematuro — saltar a asma por sibilancias sin considerar edad y epidemiología.</w:t>
      </w:r>
    </w:p>
    <w:p/>
    <w:p>
      <w:pPr>
        <w:pStyle w:val="Heading3"/>
      </w:pPr>
      <w:r>
        <w:t>Pregunta 2</w:t>
      </w:r>
    </w:p>
    <w:p>
      <w:r>
        <w:t>Lactante 5 meses, bronquiolitis moderada (5 puntos). ¿Tratamiento de primera línea GPC?</w:t>
      </w:r>
    </w:p>
    <w:p>
      <w:r>
        <w:t>A) Salbutamol nebulizado</w:t>
      </w:r>
    </w:p>
    <w:p>
      <w:r>
        <w:t>B) Corticoide oral</w:t>
      </w:r>
    </w:p>
    <w:p>
      <w:r>
        <w:t>C) Solución salina hipertónica 3%</w:t>
      </w:r>
    </w:p>
    <w:p>
      <w:r>
        <w:t>D) Amoxicilina oral</w:t>
      </w:r>
    </w:p>
    <w:p>
      <w:r>
        <w:rPr>
          <w:b/>
        </w:rPr>
        <w:t>Respuesta: C</w:t>
      </w:r>
    </w:p>
    <w:p>
      <w:r>
        <w:t>Explicación: Salina hipertónica 3% mejora hidratación vías aéreas. Salbutamol solo si atopia. NO corticoides, antibióticos, antileucotrienos.</w:t>
      </w:r>
    </w:p>
    <w:p>
      <w:r>
        <w:rPr>
          <w:b/>
        </w:rPr>
        <w:t xml:space="preserve">Sesgo que activa: </w:t>
      </w:r>
      <w:r>
        <w:t>Disponibilidad — pensar en salbutamol por analogía con asma.</w:t>
      </w:r>
    </w:p>
    <w:p/>
    <w:p>
      <w:pPr>
        <w:pStyle w:val="Heading3"/>
      </w:pPr>
      <w:r>
        <w:t>Pregunta 3</w:t>
      </w:r>
    </w:p>
    <w:p>
      <w:r>
        <w:t>RN 35 sem, 1800 g, displasia broncopulmonar. ¿Profilaxis VSR?</w:t>
      </w:r>
    </w:p>
    <w:p>
      <w:r>
        <w:t>A) Vacuna VSR</w:t>
      </w:r>
    </w:p>
    <w:p>
      <w:r>
        <w:t>B) Palivizumab mensual</w:t>
      </w:r>
    </w:p>
    <w:p>
      <w:r>
        <w:t>C) Inmunoglobulina IV</w:t>
      </w:r>
    </w:p>
    <w:p>
      <w:r>
        <w:t>D) Oseltamivir profiláctico</w:t>
      </w:r>
    </w:p>
    <w:p>
      <w:r>
        <w:rPr>
          <w:b/>
        </w:rPr>
        <w:t>Respuesta: B</w:t>
      </w:r>
    </w:p>
    <w:p>
      <w:r>
        <w:t>Explicación: Palivizumab: anticuerpo monoclonal anti-VSR. Mensual pre-temporada. No existe vacuna VSR. Oseltamivir es para influenza.</w:t>
      </w:r>
    </w:p>
    <w:p>
      <w:r>
        <w:rPr>
          <w:b/>
        </w:rPr>
        <w:t xml:space="preserve">Sesgo que activa: </w:t>
      </w:r>
      <w:r>
        <w:t>Anclaje — pensar en vacuna u oseltamivir sin considerar anticuerpo monoclonal específico.</w:t>
      </w:r>
    </w:p>
    <w:p/>
    <w:p>
      <w:pPr>
        <w:pStyle w:val="Heading3"/>
      </w:pPr>
      <w:r>
        <w:t>Pregunta 4</w:t>
      </w:r>
    </w:p>
    <w:p>
      <w:r>
        <w:t>Lactante 6 meses, bronquiolitis, SatO2 88%, FR 70, letárgico. ¿Grado de obstrucción?</w:t>
      </w:r>
    </w:p>
    <w:p>
      <w:r>
        <w:t>A) Leve</w:t>
      </w:r>
    </w:p>
    <w:p>
      <w:r>
        <w:t>B) Moderada</w:t>
      </w:r>
    </w:p>
    <w:p>
      <w:r>
        <w:t>C) Grave</w:t>
      </w:r>
    </w:p>
    <w:p>
      <w:r>
        <w:t>D) Muy grave con amenaza</w:t>
      </w:r>
    </w:p>
    <w:p>
      <w:r>
        <w:rPr>
          <w:b/>
        </w:rPr>
        <w:t>Respuesta: C</w:t>
      </w:r>
    </w:p>
    <w:p>
      <w:r>
        <w:t>Explicación: SatO2 &lt;92% + letargo = grave. Moderada: 92-95%. Leve: &gt;95%. El letargo descarta leve y moderada.</w:t>
      </w:r>
    </w:p>
    <w:p>
      <w:r>
        <w:rPr>
          <w:b/>
        </w:rPr>
        <w:t xml:space="preserve">Sesgo que activa: </w:t>
      </w:r>
      <w:r>
        <w:t>Sobreconfianza — clasificar como moderada sin integrar estado mental.</w:t>
      </w:r>
    </w:p>
    <w:p/>
    <w:p>
      <w:pPr>
        <w:pStyle w:val="Heading3"/>
      </w:pPr>
      <w:r>
        <w:t>Pregunta 5</w:t>
      </w:r>
    </w:p>
    <w:p>
      <w:r>
        <w:t>¿Agente etiológico más común de bronquiolitis?</w:t>
      </w:r>
    </w:p>
    <w:p>
      <w:r>
        <w:t>A) Virus parainfluenza</w:t>
      </w:r>
    </w:p>
    <w:p>
      <w:r>
        <w:t>B) Virus sincitial respiratorio</w:t>
      </w:r>
    </w:p>
    <w:p>
      <w:r>
        <w:t>C) Adenovirus</w:t>
      </w:r>
    </w:p>
    <w:p>
      <w:r>
        <w:t>D) Rinovirus</w:t>
      </w:r>
    </w:p>
    <w:p>
      <w:r>
        <w:rPr>
          <w:b/>
        </w:rPr>
        <w:t>Respuesta: B</w:t>
      </w:r>
    </w:p>
    <w:p>
      <w:r>
        <w:t>Explicación: VSR produce hasta 80% en epidemias. Le siguen parainfluenza, influenza, adenovirus.</w:t>
      </w:r>
    </w:p>
    <w:p>
      <w:r>
        <w:rPr>
          <w:b/>
        </w:rPr>
        <w:t xml:space="preserve">Sesgo que activa: </w:t>
      </w:r>
      <w:r>
        <w:t>Prevalencia base — pensar en adenovirus por ser común en general, pero VSR es específico.</w:t>
      </w:r>
    </w:p>
    <w:p/>
    <w:p>
      <w:r>
        <w:br w:type="page"/>
      </w:r>
    </w:p>
    <w:p>
      <w:pPr>
        <w:pStyle w:val="Heading1"/>
      </w:pPr>
      <w:r>
        <w:t>Tema 2: Estenosis Pilórica Hipertrófica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1.5-4/1000 nacidos vivos. Masculino 4-5:1. Causa más frecuente de cirugía abdominal &lt;2 meses. Causa más común de alcalosis metabólica pediátrica.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2-8 semanas de vida (rango 1 sem-3 meses). Más tardía en prematuros.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Hipertrofia e hiperplasia muscular del píloro → obstrucción al vaciamiento gástrico.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Vómito no biliar, postprandial, en proyectil. Apetito voraz → letargo. Oliva pilórica palpable (patognomónico). Peristaltismo visible.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Ultrasonido (1a elección): sensibilidad 98%, especificidad 100%. Diámetro &gt;15-18 mm, espesor &gt;3-4 mm, longitud &gt;17 mm. Serie EGD (2a elección). Endoscopia (3a elección).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Reposición hidroelectrolítica prequirúrgica. Piloromiotomía de Fredet-Ramstedt (laparoscópica). Analgesia: paracetamol.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RGE, espasmo pilórico, hernia hiatal, vólvulo gástrico.</w:t>
            </w:r>
          </w:p>
        </w:tc>
      </w:tr>
    </w:tbl>
    <w:p>
      <w:pPr>
        <w:pStyle w:val="Heading3"/>
      </w:pPr>
      <w:r>
        <w:t>Datos clave para examen</w:t>
      </w:r>
    </w:p>
    <w:p>
      <w:r>
        <w:t>• Factores de riesgo: sexo masculino, primogenitura, hemotipos B y O, eritromicina en primeras 2 semanas.</w:t>
      </w:r>
    </w:p>
    <w:p>
      <w:r>
        <w:t>• Alcalosis metabólica hipoclorémica e hipocalémica.</w:t>
      </w:r>
    </w:p>
    <w:p>
      <w:r>
        <w:t>• Si se palpa la oliva pilórica, NO se necesita ningún estudio de gabinete.</w:t>
      </w:r>
    </w:p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masculino 4 semanas, primogénito, vómito postprandial en proyectil no biliar progresivo 3 días. Hambre después de vomitar. Masa en epigastrio. ¿Diagnóstico?</w:t>
      </w:r>
    </w:p>
    <w:p>
      <w:r>
        <w:t>A) Reflujo gastroesofágico</w:t>
      </w:r>
    </w:p>
    <w:p>
      <w:r>
        <w:t>B) Estenosis pilórica hipertrófica</w:t>
      </w:r>
    </w:p>
    <w:p>
      <w:r>
        <w:t>C) Espasmo pilórico</w:t>
      </w:r>
    </w:p>
    <w:p>
      <w:r>
        <w:t>D) Atresia duodenal</w:t>
      </w:r>
    </w:p>
    <w:p>
      <w:r>
        <w:rPr>
          <w:b/>
        </w:rPr>
        <w:t>Respuesta: B</w:t>
      </w:r>
    </w:p>
    <w:p>
      <w:r>
        <w:t>Explicación: Masculino 4 semanas (2-8 sem típico), vómito proyectil no biliar, apetito voraz, oliva pilólica palpable = patognomónico. RGE: vómito no proyectil sin masa. Atresia duodenal: vómito biliar primeras 24-48h.</w:t>
      </w:r>
    </w:p>
    <w:p>
      <w:r>
        <w:rPr>
          <w:b/>
        </w:rPr>
        <w:t xml:space="preserve">Sesgo que activa: </w:t>
      </w:r>
      <w:r>
        <w:t>Anclaje — pensar en RGE por vómito sin considerar proyectil y masa palpable.</w:t>
      </w:r>
    </w:p>
    <w:p/>
    <w:p>
      <w:pPr>
        <w:pStyle w:val="Heading3"/>
      </w:pPr>
      <w:r>
        <w:t>Pregunta 2</w:t>
      </w:r>
    </w:p>
    <w:p>
      <w:r>
        <w:t>Lactante 5 semanas, sospecha estenosis pilórica. ¿Estudio de elección?</w:t>
      </w:r>
    </w:p>
    <w:p>
      <w:r>
        <w:t>A) Serie esofagogastroduodenal</w:t>
      </w:r>
    </w:p>
    <w:p>
      <w:r>
        <w:t>B) Ultrasonido abdominal</w:t>
      </w:r>
    </w:p>
    <w:p>
      <w:r>
        <w:t>C) Endoscopia</w:t>
      </w:r>
    </w:p>
    <w:p>
      <w:r>
        <w:t>D) Tomografía abdominal</w:t>
      </w:r>
    </w:p>
    <w:p>
      <w:r>
        <w:rPr>
          <w:b/>
        </w:rPr>
        <w:t>Respuesta: B</w:t>
      </w:r>
    </w:p>
    <w:p>
      <w:r>
        <w:t>Explicación: Ultrasonido: sensibilidad 98%, especificidad 100%. Diámetro &gt;15-18 mm, espesor &gt;3-4 mm, longitud &gt;17 mm. Serie EGD es segunda elección.</w:t>
      </w:r>
    </w:p>
    <w:p>
      <w:r>
        <w:rPr>
          <w:b/>
        </w:rPr>
        <w:t xml:space="preserve">Sesgo que activa: </w:t>
      </w:r>
      <w:r>
        <w:t>Disponibilidad — pensar en serie EGD por tradición gastrointestinal.</w:t>
      </w:r>
    </w:p>
    <w:p/>
    <w:p>
      <w:pPr>
        <w:pStyle w:val="Heading3"/>
      </w:pPr>
      <w:r>
        <w:t>Pregunta 3</w:t>
      </w:r>
    </w:p>
    <w:p>
      <w:r>
        <w:t>Lactante 6 semanas, vómito proyectil 5 días. pH 7.50, HCO3 36, Cl 88, K 2.9. ¿Trastorno ácido-base?</w:t>
      </w:r>
    </w:p>
    <w:p>
      <w:r>
        <w:t>A) Acidosis metabólica</w:t>
      </w:r>
    </w:p>
    <w:p>
      <w:r>
        <w:t>B) Alcalosis metabólica hipoclorémica e hipocalémica</w:t>
      </w:r>
    </w:p>
    <w:p>
      <w:r>
        <w:t>C) Alcalosis respiratoria</w:t>
      </w:r>
    </w:p>
    <w:p>
      <w:r>
        <w:t>D) Acidosis metabólica compensada</w:t>
      </w:r>
    </w:p>
    <w:p>
      <w:r>
        <w:rPr>
          <w:b/>
        </w:rPr>
        <w:t>Respuesta: B</w:t>
      </w:r>
    </w:p>
    <w:p>
      <w:r>
        <w:t>Explicación: pH 7.50 = alcalosis. HCO3 36 = metabólica. Cl 88 + K 2.9 = hipoclorémica e hipocalémica. Causa más común de alcalosis metabólica pediátrica.</w:t>
      </w:r>
    </w:p>
    <w:p>
      <w:r>
        <w:rPr>
          <w:b/>
        </w:rPr>
        <w:t xml:space="preserve">Sesgo que activa: </w:t>
      </w:r>
      <w:r>
        <w:t>Cierre prematuro — saltar a acidosis por vómito sin analizar gasometría.</w:t>
      </w:r>
    </w:p>
    <w:p/>
    <w:p>
      <w:pPr>
        <w:pStyle w:val="Heading3"/>
      </w:pPr>
      <w:r>
        <w:t>Pregunta 4</w:t>
      </w:r>
    </w:p>
    <w:p>
      <w:r>
        <w:t>Lactante 3 semanas, estenosis pilórica confirmada. ¿Tratamiento definitivo?</w:t>
      </w:r>
    </w:p>
    <w:p>
      <w:r>
        <w:t>A) Anticolinérgicos</w:t>
      </w:r>
    </w:p>
    <w:p>
      <w:r>
        <w:t>B) Dilatación endoscópica</w:t>
      </w:r>
    </w:p>
    <w:p>
      <w:r>
        <w:t>C) Piloromiotomía de Fredet-Ramstedt</w:t>
      </w:r>
    </w:p>
    <w:p>
      <w:r>
        <w:t>D) Procinéticos</w:t>
      </w:r>
    </w:p>
    <w:p>
      <w:r>
        <w:rPr>
          <w:b/>
        </w:rPr>
        <w:t>Respuesta: C</w:t>
      </w:r>
    </w:p>
    <w:p>
      <w:r>
        <w:t>Explicación: Piloromiotomía Fredet-Ramstedt laparoscópica. Previamente corregir alcalosis metabólica. Anticolinérgicos, procinéticos y dilatación no son tratamiento.</w:t>
      </w:r>
    </w:p>
    <w:p>
      <w:r>
        <w:rPr>
          <w:b/>
        </w:rPr>
        <w:t xml:space="preserve">Sesgo que activa: </w:t>
      </w:r>
      <w:r>
        <w:t>Disponibilidad — pensar en manejo médico por analogía con otros trastornos.</w:t>
      </w:r>
    </w:p>
    <w:p/>
    <w:p>
      <w:pPr>
        <w:pStyle w:val="Heading3"/>
      </w:pPr>
      <w:r>
        <w:t>Pregunta 5</w:t>
      </w:r>
    </w:p>
    <w:p>
      <w:r>
        <w:t>¿Factor de riesgo para estenosis pilórica hipertrófica?</w:t>
      </w:r>
    </w:p>
    <w:p>
      <w:r>
        <w:t>A) Eritromicina primeras 2 semanas de vida</w:t>
      </w:r>
    </w:p>
    <w:p>
      <w:r>
        <w:t>B) Lactancia materna exclusiva</w:t>
      </w:r>
    </w:p>
    <w:p>
      <w:r>
        <w:t>C) Parto por cesárea</w:t>
      </w:r>
    </w:p>
    <w:p>
      <w:r>
        <w:t>D) Vacunación BCG</w:t>
      </w:r>
    </w:p>
    <w:p>
      <w:r>
        <w:rPr>
          <w:b/>
        </w:rPr>
        <w:t>Respuesta: A</w:t>
      </w:r>
    </w:p>
    <w:p>
      <w:r>
        <w:t>Explicación: Eritromicina primeras 2 semanas es factor de riesgo documentado. También: masculino, primogenitura, hemotipos B y O, macrólidos en embarazo.</w:t>
      </w:r>
    </w:p>
    <w:p>
      <w:r>
        <w:rPr>
          <w:b/>
        </w:rPr>
        <w:t xml:space="preserve">Sesgo que activa: </w:t>
      </w:r>
      <w:r>
        <w:t>Prevalencia base — descartar eritromicina sin conocer asociación específica.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