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Entrenamiento ENARM — Medicina Interna</w:t>
      </w:r>
    </w:p>
    <w:p>
      <w:pPr>
        <w:jc w:val="center"/>
      </w:pPr>
      <w:r>
        <w:rPr>
          <w:rFonts w:ascii="Arial" w:hAnsi="Arial"/>
          <w:b/>
          <w:sz w:val="28"/>
        </w:rPr>
        <w:t>Sesión de tarde (3 temas) — 17 de julio de 2026</w:t>
      </w:r>
    </w:p>
    <w:p/>
    <w:p>
      <w:r>
        <w:rPr>
          <w:rFonts w:ascii="Arial" w:hAnsi="Arial"/>
          <w:b/>
          <w:sz w:val="26"/>
        </w:rPr>
        <w:t>Tema: Enfermedad Pulmonar Obstructiva Crónica (EPOC)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Cuarta causa de muerte mundial. Prevalencia 3-6% en &gt;50 años. En México entre 4ª y 6ª causa de mortalidad. Tabaquismo principal factor de riesgo; un tercio son no fumadores (biomasa).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Síntomas progresivos &gt;40 años. Tos matutina intermitente, infecciones recurrentes, disnea con ejercicio. Exacerbaciones agudas con infecciones (70% virales/bacterianas).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Bronquiolitis obstructiva, enfisema, bronquitis crónica. Destrucción uniones alveolares, fibrosis bronquiolar. Vasoconstricción hipóxica → hipertensión pulmonar → cor pulmonale.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Disnea &gt;70%, tos crónica ~60%, expectoración &gt;63%. Tórax en barril, uso músculos accesorios, sibilancias espiratorias, cianosis, edema en avanzados.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Espirometría: FEV1/FVC &lt;0.7 post-broncodilatador. Clasificación GOLD 1-4 por FEV1. mMRC/CAT para síntomas. TC solo para complicaciones/cirugía. No diagnosticar solo con RX.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Grupo A: SABA/SAMA. Grupo B: LAMA. Grupo C: LAMA. Grupo D: LAMA+LABA o ICS+LABA si eosinófilos &gt;300. Oxígeno domiciliario si PaO2 &lt;55 o SatO2 &lt;88%. Cesar tabaco es única intervención que frena progresión.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Asma (solapamiento asma-EPOC), insuficiencia cardiaca, neumonía, cáncer pulmonar, bronquiectasias, fibrosis pulmonar.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Hombre de 62 años, fumador 40 paquetes-año, disnea progresiva al caminar, tos matutina con esputo claro. Espirometría: FEV1/FVC 0.62, FEV1 65% del predicho. ¿Grupo GOLD?</w:t>
      </w:r>
    </w:p>
    <w:p>
      <w:r>
        <w:rPr>
          <w:rFonts w:ascii="Arial" w:hAnsi="Arial"/>
          <w:b w:val="0"/>
          <w:sz w:val="24"/>
        </w:rPr>
        <w:t>A) GOLD 1</w:t>
      </w:r>
    </w:p>
    <w:p>
      <w:r>
        <w:rPr>
          <w:rFonts w:ascii="Arial" w:hAnsi="Arial"/>
          <w:b w:val="0"/>
          <w:sz w:val="24"/>
        </w:rPr>
        <w:t>B) GOLD 2</w:t>
      </w:r>
    </w:p>
    <w:p>
      <w:r>
        <w:rPr>
          <w:rFonts w:ascii="Arial" w:hAnsi="Arial"/>
          <w:b w:val="0"/>
          <w:sz w:val="24"/>
        </w:rPr>
        <w:t>C) GOLD 3</w:t>
      </w:r>
    </w:p>
    <w:p>
      <w:r>
        <w:rPr>
          <w:rFonts w:ascii="Arial" w:hAnsi="Arial"/>
          <w:b w:val="0"/>
          <w:sz w:val="24"/>
        </w:rPr>
        <w:t>D) GOLD 4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FEV1/FVC 0.62 &lt;0.7 confirma EPOC. FEV1 65% = GOLD 2 (moderado, rango 50-79%). GOLD 1 ≥80%, GOLD 3 30-49%, GOLD 4 &lt;30%.</w:t>
      </w:r>
    </w:p>
    <w:p>
      <w:r>
        <w:rPr>
          <w:rFonts w:ascii="Arial" w:hAnsi="Arial"/>
          <w:b/>
          <w:sz w:val="24"/>
        </w:rPr>
        <w:t>Sesgo que activa: Cierre prematuro — clasificar por síntomas sin verificar FEV1.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EPOC GOLD 2, mMRC 1, 1 exacerbación sin hospitalización en el último año. ¿Grupo y tratamiento inicial?</w:t>
      </w:r>
    </w:p>
    <w:p>
      <w:r>
        <w:rPr>
          <w:rFonts w:ascii="Arial" w:hAnsi="Arial"/>
          <w:b w:val="0"/>
          <w:sz w:val="24"/>
        </w:rPr>
        <w:t>A) Grupo A: SABA/SAMA</w:t>
      </w:r>
    </w:p>
    <w:p>
      <w:r>
        <w:rPr>
          <w:rFonts w:ascii="Arial" w:hAnsi="Arial"/>
          <w:b w:val="0"/>
          <w:sz w:val="24"/>
        </w:rPr>
        <w:t>B) Grupo B: LAMA</w:t>
      </w:r>
    </w:p>
    <w:p>
      <w:r>
        <w:rPr>
          <w:rFonts w:ascii="Arial" w:hAnsi="Arial"/>
          <w:b w:val="0"/>
          <w:sz w:val="24"/>
        </w:rPr>
        <w:t>C) Grupo C: LAMA</w:t>
      </w:r>
    </w:p>
    <w:p>
      <w:r>
        <w:rPr>
          <w:rFonts w:ascii="Arial" w:hAnsi="Arial"/>
          <w:b w:val="0"/>
          <w:sz w:val="24"/>
        </w:rPr>
        <w:t>D) Grupo D: LAMA+LABA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mMRC 0-1 (síntomas bajos) + 0-1 exacerbación sin hospitalización = Grupo A. Tratamiento: SABA o SAMA según necesidad.</w:t>
      </w:r>
    </w:p>
    <w:p>
      <w:r>
        <w:rPr>
          <w:rFonts w:ascii="Arial" w:hAnsi="Arial"/>
          <w:b/>
          <w:sz w:val="24"/>
        </w:rPr>
        <w:t>Sesgo que activa: Sobreconfianza — pensar en Grupo B/C por edad sin usar clasificación ABCD.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Paciente EPOC, exacerbación grave, PaCO2 55 mmHg, pH 7.28. ¿Manejo ventilatorio?</w:t>
      </w:r>
    </w:p>
    <w:p>
      <w:r>
        <w:rPr>
          <w:rFonts w:ascii="Arial" w:hAnsi="Arial"/>
          <w:b w:val="0"/>
          <w:sz w:val="24"/>
        </w:rPr>
        <w:t>A) Intubación inmediata</w:t>
      </w:r>
    </w:p>
    <w:p>
      <w:r>
        <w:rPr>
          <w:rFonts w:ascii="Arial" w:hAnsi="Arial"/>
          <w:b w:val="0"/>
          <w:sz w:val="24"/>
        </w:rPr>
        <w:t>B) Ventilación no invasiva con BiPAP</w:t>
      </w:r>
    </w:p>
    <w:p>
      <w:r>
        <w:rPr>
          <w:rFonts w:ascii="Arial" w:hAnsi="Arial"/>
          <w:b w:val="0"/>
          <w:sz w:val="24"/>
        </w:rPr>
        <w:t>C) Oxígeno de alto flujo sin ventilación</w:t>
      </w:r>
    </w:p>
    <w:p>
      <w:r>
        <w:rPr>
          <w:rFonts w:ascii="Arial" w:hAnsi="Arial"/>
          <w:b w:val="0"/>
          <w:sz w:val="24"/>
        </w:rPr>
        <w:t>D) Solo broncodilatadores nebulizados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Exacerbación grave con falla respiratoria hipercápnica (PaCO2 &gt;45, pH &lt;7.30): VNI con BiPAP reduce mortalidad e intubación. No invasiva es primera línea si no hay contraindicaciones.</w:t>
      </w:r>
    </w:p>
    <w:p>
      <w:r>
        <w:rPr>
          <w:rFonts w:ascii="Arial" w:hAnsi="Arial"/>
          <w:b/>
          <w:sz w:val="24"/>
        </w:rPr>
        <w:t>Sesgo que activa: Cierre prematuro — saltar a intubación sin intentar VNI.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EPOC, PaO2 52 mmHg, SatO2 86% en reposo. ¿Indicación de oxígeno domiciliario?</w:t>
      </w:r>
    </w:p>
    <w:p>
      <w:r>
        <w:rPr>
          <w:rFonts w:ascii="Arial" w:hAnsi="Arial"/>
          <w:b w:val="0"/>
          <w:sz w:val="24"/>
        </w:rPr>
        <w:t>A) No, porque hay que retirar tabaco primero</w:t>
      </w:r>
    </w:p>
    <w:p>
      <w:r>
        <w:rPr>
          <w:rFonts w:ascii="Arial" w:hAnsi="Arial"/>
          <w:b w:val="0"/>
          <w:sz w:val="24"/>
        </w:rPr>
        <w:t>B) Sí, PaO2 &lt;55 mmHg</w:t>
      </w:r>
    </w:p>
    <w:p>
      <w:r>
        <w:rPr>
          <w:rFonts w:ascii="Arial" w:hAnsi="Arial"/>
          <w:b w:val="0"/>
          <w:sz w:val="24"/>
        </w:rPr>
        <w:t>C) Solo si hay cor pulmonale</w:t>
      </w:r>
    </w:p>
    <w:p>
      <w:r>
        <w:rPr>
          <w:rFonts w:ascii="Arial" w:hAnsi="Arial"/>
          <w:b w:val="0"/>
          <w:sz w:val="24"/>
        </w:rPr>
        <w:t>D) Solo durante el ejercicio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Indicación de oxígeno domiciliario: PaO2 &lt;55 mmHg o SatO2 &lt;88%; o PaO2 55-60 con hipertensión pulmonar, poliglobulia o arritmias. &gt;16 horas/día.</w:t>
      </w:r>
    </w:p>
    <w:p>
      <w:r>
        <w:rPr>
          <w:rFonts w:ascii="Arial" w:hAnsi="Arial"/>
          <w:b/>
          <w:sz w:val="24"/>
        </w:rPr>
        <w:t>Sesgo que activa: Anclaje — pensar que cesar tabaco es condición previa para oxígeno.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Paciente EPOC, exacerbación, no antibióticos previas 6 semanas, &lt;4 exacerbaciones/año. ¿Antibiótico de elección?</w:t>
      </w:r>
    </w:p>
    <w:p>
      <w:r>
        <w:rPr>
          <w:rFonts w:ascii="Arial" w:hAnsi="Arial"/>
          <w:b w:val="0"/>
          <w:sz w:val="24"/>
        </w:rPr>
        <w:t>A) Amoxicilina o doxiciclina</w:t>
      </w:r>
    </w:p>
    <w:p>
      <w:r>
        <w:rPr>
          <w:rFonts w:ascii="Arial" w:hAnsi="Arial"/>
          <w:b w:val="0"/>
          <w:sz w:val="24"/>
        </w:rPr>
        <w:t>B) Levofloxacino</w:t>
      </w:r>
    </w:p>
    <w:p>
      <w:r>
        <w:rPr>
          <w:rFonts w:ascii="Arial" w:hAnsi="Arial"/>
          <w:b w:val="0"/>
          <w:sz w:val="24"/>
        </w:rPr>
        <w:t>C) Amoxicilina-clavulanato</w:t>
      </w:r>
    </w:p>
    <w:p>
      <w:r>
        <w:rPr>
          <w:rFonts w:ascii="Arial" w:hAnsi="Arial"/>
          <w:b w:val="0"/>
          <w:sz w:val="24"/>
        </w:rPr>
        <w:t>D) Piperacilina-tazobactam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Criterios de Anthonisen. Condición 1: sin antibióticos recientes, &lt;4 exacerbaciones/año → amoxicilina, doxiciclina o TMP-SMX. Condición 2: antibióticos recientes o ≥4 exacerbaciones → amoxicilina-clavulanato o macrólido. Condición 3: grave → fluoroquinolona.</w:t>
      </w:r>
    </w:p>
    <w:p>
      <w:r>
        <w:rPr>
          <w:rFonts w:ascii="Arial" w:hAnsi="Arial"/>
          <w:b/>
          <w:sz w:val="24"/>
        </w:rPr>
        <w:t>Sesgo que activa: Disponibilidad — preferir amoxicilina-clavulanato por ser "más fuerte" sin seguir criterios.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con disnea crónica, FEV1/FVC 0.68, FEV1 78%, historia de asma infantil, eosinófilos 350 células/mcL. ¿Diagnóstico más probable?</w:t>
      </w:r>
    </w:p>
    <w:p>
      <w:r>
        <w:rPr>
          <w:rFonts w:ascii="Arial" w:hAnsi="Arial"/>
          <w:b w:val="0"/>
          <w:sz w:val="24"/>
        </w:rPr>
        <w:t>A) Asma exclusiva</w:t>
      </w:r>
    </w:p>
    <w:p>
      <w:r>
        <w:rPr>
          <w:rFonts w:ascii="Arial" w:hAnsi="Arial"/>
          <w:b w:val="0"/>
          <w:sz w:val="24"/>
        </w:rPr>
        <w:t>B) EPOC exclusiva</w:t>
      </w:r>
    </w:p>
    <w:p>
      <w:r>
        <w:rPr>
          <w:rFonts w:ascii="Arial" w:hAnsi="Arial"/>
          <w:b w:val="0"/>
          <w:sz w:val="24"/>
        </w:rPr>
        <w:t>C) Solapamiento asma-EPOC</w:t>
      </w:r>
    </w:p>
    <w:p>
      <w:r>
        <w:rPr>
          <w:rFonts w:ascii="Arial" w:hAnsi="Arial"/>
          <w:b w:val="0"/>
          <w:sz w:val="24"/>
        </w:rPr>
        <w:t>D) Fibrosis pulmonar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FEV1/FVC &lt;0.7 + historia de asma + eosinófilos &gt;300 = solapamiento asma-EPOC. Tratamiento: ICS+LABA preferente.</w:t>
      </w:r>
    </w:p>
    <w:p>
      <w:r>
        <w:rPr>
          <w:rFonts w:ascii="Arial" w:hAnsi="Arial"/>
          <w:b/>
          <w:sz w:val="24"/>
        </w:rPr>
        <w:t>Sesgo que activa: Cierre prematuro — clasificar solo como EPOC por tabaquismo sin integrar historia de asma.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Paciente EPOC GOLD 3, mMRC 3, 3 exacerbaciones en el año, 1 hospitalización. ¿Tratamiento inicial?</w:t>
      </w:r>
    </w:p>
    <w:p>
      <w:r>
        <w:rPr>
          <w:rFonts w:ascii="Arial" w:hAnsi="Arial"/>
          <w:b w:val="0"/>
          <w:sz w:val="24"/>
        </w:rPr>
        <w:t>A) SABA/SAMA</w:t>
      </w:r>
    </w:p>
    <w:p>
      <w:r>
        <w:rPr>
          <w:rFonts w:ascii="Arial" w:hAnsi="Arial"/>
          <w:b w:val="0"/>
          <w:sz w:val="24"/>
        </w:rPr>
        <w:t>B) LAMA</w:t>
      </w:r>
    </w:p>
    <w:p>
      <w:r>
        <w:rPr>
          <w:rFonts w:ascii="Arial" w:hAnsi="Arial"/>
          <w:b w:val="0"/>
          <w:sz w:val="24"/>
        </w:rPr>
        <w:t>C) LAMA+LABA</w:t>
      </w:r>
    </w:p>
    <w:p>
      <w:r>
        <w:rPr>
          <w:rFonts w:ascii="Arial" w:hAnsi="Arial"/>
          <w:b w:val="0"/>
          <w:sz w:val="24"/>
        </w:rPr>
        <w:t>D) ICS+LABA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mMRC ≥2 + ≥2 exacerbaciones o ≥1 hospitalización = Grupo D. GPC sugiere iniciar LAMA, aunque combinación LAMA+LABA puede preferirse si disnea severa (CAT &gt;20). ICS+LABA solo si eosinófilos &gt;300 o solapamiento asma-EPOC.</w:t>
      </w:r>
    </w:p>
    <w:p>
      <w:r>
        <w:rPr>
          <w:rFonts w:ascii="Arial" w:hAnsi="Arial"/>
          <w:b/>
          <w:sz w:val="24"/>
        </w:rPr>
        <w:t>Sesgo que activa: Prevalencia base — pensar que todo Grupo D requiere corticoide inhalado.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EPOC, PaO2 58 mmHg, PA pulmonar elevada, poliglobulia (Hb 18 g/dL). ¿Indicación de oxígeno?</w:t>
      </w:r>
    </w:p>
    <w:p>
      <w:r>
        <w:rPr>
          <w:rFonts w:ascii="Arial" w:hAnsi="Arial"/>
          <w:b w:val="0"/>
          <w:sz w:val="24"/>
        </w:rPr>
        <w:t>A) No, PaO2 &gt;55</w:t>
      </w:r>
    </w:p>
    <w:p>
      <w:r>
        <w:rPr>
          <w:rFonts w:ascii="Arial" w:hAnsi="Arial"/>
          <w:b w:val="0"/>
          <w:sz w:val="24"/>
        </w:rPr>
        <w:t>B) Sí, porque PaO2 55-60 con poliglobulia</w:t>
      </w:r>
    </w:p>
    <w:p>
      <w:r>
        <w:rPr>
          <w:rFonts w:ascii="Arial" w:hAnsi="Arial"/>
          <w:b w:val="0"/>
          <w:sz w:val="24"/>
        </w:rPr>
        <w:t>C) Solo si SatO2 &lt;85%</w:t>
      </w:r>
    </w:p>
    <w:p>
      <w:r>
        <w:rPr>
          <w:rFonts w:ascii="Arial" w:hAnsi="Arial"/>
          <w:b w:val="0"/>
          <w:sz w:val="24"/>
        </w:rPr>
        <w:t>D) Solo nocturno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PaO2 55-60 mmHg + poliglobulia es indicación de oxígeno domiciliario según GPC.</w:t>
      </w:r>
    </w:p>
    <w:p>
      <w:r>
        <w:rPr>
          <w:rFonts w:ascii="Arial" w:hAnsi="Arial"/>
          <w:b/>
          <w:sz w:val="24"/>
        </w:rPr>
        <w:t>Sesgo que activa: Anclaje — solo usar umbral &lt;55 sin considerar excepciones.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Paciente EPOC, exacerbación leve, SatO2 93% en reposo, FR 22. ¿Meta de oxígeno?</w:t>
      </w:r>
    </w:p>
    <w:p>
      <w:r>
        <w:rPr>
          <w:rFonts w:ascii="Arial" w:hAnsi="Arial"/>
          <w:b w:val="0"/>
          <w:sz w:val="24"/>
        </w:rPr>
        <w:t>A) SatO2 94-98%</w:t>
      </w:r>
    </w:p>
    <w:p>
      <w:r>
        <w:rPr>
          <w:rFonts w:ascii="Arial" w:hAnsi="Arial"/>
          <w:b w:val="0"/>
          <w:sz w:val="24"/>
        </w:rPr>
        <w:t>B) SatO2 88-92%</w:t>
      </w:r>
    </w:p>
    <w:p>
      <w:r>
        <w:rPr>
          <w:rFonts w:ascii="Arial" w:hAnsi="Arial"/>
          <w:b w:val="0"/>
          <w:sz w:val="24"/>
        </w:rPr>
        <w:t>C) SatO2 &gt;95%</w:t>
      </w:r>
    </w:p>
    <w:p>
      <w:r>
        <w:rPr>
          <w:rFonts w:ascii="Arial" w:hAnsi="Arial"/>
          <w:b w:val="0"/>
          <w:sz w:val="24"/>
        </w:rPr>
        <w:t>D) SatO2 85-90%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En exacerbación de EPOC, meta de oxígeno SatO2 88-92% para evitar retención de CO2 por supresión de hipoxemia como estímulo ventilatorio.</w:t>
      </w:r>
    </w:p>
    <w:p>
      <w:r>
        <w:rPr>
          <w:rFonts w:ascii="Arial" w:hAnsi="Arial"/>
          <w:b/>
          <w:sz w:val="24"/>
        </w:rPr>
        <w:t>Sesgo que activa: Prevalencia base — aplicar meta de oxígeno 94-98% de pacientes sin EPOC.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EPOC, exacerbación moderada, FR 26, SatO2 89%. ¿Antibiótico según criterios Anthonisen?</w:t>
      </w:r>
    </w:p>
    <w:p>
      <w:r>
        <w:rPr>
          <w:rFonts w:ascii="Arial" w:hAnsi="Arial"/>
          <w:b w:val="0"/>
          <w:sz w:val="24"/>
        </w:rPr>
        <w:t>A) Amoxicilina sola</w:t>
      </w:r>
    </w:p>
    <w:p>
      <w:r>
        <w:rPr>
          <w:rFonts w:ascii="Arial" w:hAnsi="Arial"/>
          <w:b w:val="0"/>
          <w:sz w:val="24"/>
        </w:rPr>
        <w:t>B) Amoxicilina-clavulanato</w:t>
      </w:r>
    </w:p>
    <w:p>
      <w:r>
        <w:rPr>
          <w:rFonts w:ascii="Arial" w:hAnsi="Arial"/>
          <w:b w:val="0"/>
          <w:sz w:val="24"/>
        </w:rPr>
        <w:t>C) Azitromicina sola</w:t>
      </w:r>
    </w:p>
    <w:p>
      <w:r>
        <w:rPr>
          <w:rFonts w:ascii="Arial" w:hAnsi="Arial"/>
          <w:b w:val="0"/>
          <w:sz w:val="24"/>
        </w:rPr>
        <w:t>D) No antibiótico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Exacerbación moderada con FR &gt;24, FC &gt;95, SatO2 &lt;92% = criterio de hospitalización y probablemente condición 2 o 3 de Anthonisen. Amoxicilina-clavulanato, claritromicina o azitromicina para condición 2; fluoroquinolona para condición 3.</w:t>
      </w:r>
    </w:p>
    <w:p>
      <w:r>
        <w:rPr>
          <w:rFonts w:ascii="Arial" w:hAnsi="Arial"/>
          <w:b/>
          <w:sz w:val="24"/>
        </w:rPr>
        <w:t>Sesgo que activa: Cierre prematuro — usar amoxicilina sola por ser primera línea general sin ajustar gravedad.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Cirrosis Hepática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Causas comunes en México: alcoholismo, hepatitis B/C/D, esteatohepatitis no alcohólica. Hasta 50% de cirrosis compensada desarrolla ascitis en 10 años.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Asintomática por largos periodos. Descompensación insidiosa: debilidad, fatiga, anorexia, distensión abdominal (ascitis), ictericia, hemorragia (várices).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Fibrosis difusa + nódulos anormales. Hipertensión portal &gt;6 mmHg. Fracaso sintético (hipoalbuminemia, coagulopatía) + hipertensión portal (ascitis, várices, encefalopatía).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Cirrosis compensada: asintomática o fatiga. Descompensada: ascitis, edema, ictericia, encefalopatía (confusión, asterixis), hematemesis/rectorragia (várices), prurito, ginecomastia, arañas vasculares, eritema palmar.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Alteración transaminasas, hiperbilirrubinemia, hipoalbuminemia, INR elevado, trombocitopenia. USG: hígado nodular, ascitis. Biopsia hepática: diagnóstico definitivo (sensibilidad 80-100%). Child-Pugh A/B/C. MELD para trasplante.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No hay terapia que modifique historia natural. Control complicaciones: ascitis (espironolactona, furosemida, restricción sodio &lt;2 g/día); encefalopatía (lactulosa, rifaximina); várices (betabloqueadores no selectivos, ligadura endoscópica); trasplante hepático si Child C o MELD &gt;15.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Hepatopatía aguda, síndrome de Budd-Chiari, colangitis esclerosante primaria, cirrosis biliar primaria, esteatohepatitis no alcohólica, hemocromatosis, enfermedad de Wilson.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Hombre de 55 años, alcoholismo crónico, distensión abdominal progresiva, edema de miembros inferiores, ascitis, bilirrubina 3.2 mg/dL, albúmina 2.5 g/dL, INR 2.0, encefalopatía grado II. ¿Clasificación Child-Pugh?</w:t>
      </w:r>
    </w:p>
    <w:p>
      <w:r>
        <w:rPr>
          <w:rFonts w:ascii="Arial" w:hAnsi="Arial"/>
          <w:b w:val="0"/>
          <w:sz w:val="24"/>
        </w:rPr>
        <w:t>A) Child A</w:t>
      </w:r>
    </w:p>
    <w:p>
      <w:r>
        <w:rPr>
          <w:rFonts w:ascii="Arial" w:hAnsi="Arial"/>
          <w:b w:val="0"/>
          <w:sz w:val="24"/>
        </w:rPr>
        <w:t>B) Child B</w:t>
      </w:r>
    </w:p>
    <w:p>
      <w:r>
        <w:rPr>
          <w:rFonts w:ascii="Arial" w:hAnsi="Arial"/>
          <w:b w:val="0"/>
          <w:sz w:val="24"/>
        </w:rPr>
        <w:t>C) Child C</w:t>
      </w:r>
    </w:p>
    <w:p>
      <w:r>
        <w:rPr>
          <w:rFonts w:ascii="Arial" w:hAnsi="Arial"/>
          <w:b w:val="0"/>
          <w:sz w:val="24"/>
        </w:rPr>
        <w:t>D) No clasificable</w:t>
      </w:r>
    </w:p>
    <w:p>
      <w:r>
        <w:rPr>
          <w:rFonts w:ascii="Arial" w:hAnsi="Arial"/>
          <w:b/>
          <w:sz w:val="24"/>
        </w:rPr>
        <w:t>Respuesta: C</w:t>
      </w:r>
    </w:p>
    <w:p>
      <w:r>
        <w:rPr>
          <w:rFonts w:ascii="Arial" w:hAnsi="Arial"/>
          <w:b w:val="0"/>
          <w:sz w:val="24"/>
        </w:rPr>
        <w:t>Explicación: Encefalopatía grado II = 2 puntos. Ascitis = 3 puntos (a tensión). Bilirrubina &gt;3 = 3 puntos. Albúmina 2.5 = 3 puntos. INR 2.0 = 2 puntos. Total 13 puntos = Child C (10-15).</w:t>
      </w:r>
    </w:p>
    <w:p>
      <w:r>
        <w:rPr>
          <w:rFonts w:ascii="Arial" w:hAnsi="Arial"/>
          <w:b/>
          <w:sz w:val="24"/>
        </w:rPr>
        <w:t>Sesgo que activa: Sobreconfianza — calcular mal puntaje por no revisar tabla completa.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con cirrosis, ascitis, fiebre 38.2°C, dolor abdominal difuso, PMN en líquido ascítico 350 células/mm³. ¿Diagnóstico?</w:t>
      </w:r>
    </w:p>
    <w:p>
      <w:r>
        <w:rPr>
          <w:rFonts w:ascii="Arial" w:hAnsi="Arial"/>
          <w:b w:val="0"/>
          <w:sz w:val="24"/>
        </w:rPr>
        <w:t>A) Peritonitis bacteriana espontánea</w:t>
      </w:r>
    </w:p>
    <w:p>
      <w:r>
        <w:rPr>
          <w:rFonts w:ascii="Arial" w:hAnsi="Arial"/>
          <w:b w:val="0"/>
          <w:sz w:val="24"/>
        </w:rPr>
        <w:t>B) Peritonitis secundaria</w:t>
      </w:r>
    </w:p>
    <w:p>
      <w:r>
        <w:rPr>
          <w:rFonts w:ascii="Arial" w:hAnsi="Arial"/>
          <w:b w:val="0"/>
          <w:sz w:val="24"/>
        </w:rPr>
        <w:t>C) Tuberculosis peritoneal</w:t>
      </w:r>
    </w:p>
    <w:p>
      <w:r>
        <w:rPr>
          <w:rFonts w:ascii="Arial" w:hAnsi="Arial"/>
          <w:b w:val="0"/>
          <w:sz w:val="24"/>
        </w:rPr>
        <w:t>D) Síndrome hepatorrenal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Cirrosis + ascitis + PMN &gt;250/mm³ = peritonitis bacteriana espontánea (PBE). Tratamiento: cefotaxima u ofloxacino 10 días. Profilaxis posterior con TMP-SMX u ofloxacino.</w:t>
      </w:r>
    </w:p>
    <w:p>
      <w:r>
        <w:rPr>
          <w:rFonts w:ascii="Arial" w:hAnsi="Arial"/>
          <w:b/>
          <w:sz w:val="24"/>
        </w:rPr>
        <w:t>Sesgo que activa: Cierre prematuro — pensar en peritonitis secundaria por dolor abdominal sin considerar contexto de cirrosis.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Paciente con cirrosis, encefalopatía grado II post-sangrado digestivo. ¿Tratamiento farmacológico de elección?</w:t>
      </w:r>
    </w:p>
    <w:p>
      <w:r>
        <w:rPr>
          <w:rFonts w:ascii="Arial" w:hAnsi="Arial"/>
          <w:b w:val="0"/>
          <w:sz w:val="24"/>
        </w:rPr>
        <w:t>A) Metronidazol IV</w:t>
      </w:r>
    </w:p>
    <w:p>
      <w:r>
        <w:rPr>
          <w:rFonts w:ascii="Arial" w:hAnsi="Arial"/>
          <w:b w:val="0"/>
          <w:sz w:val="24"/>
        </w:rPr>
        <w:t>B) Lactulosa y control de precipitantes</w:t>
      </w:r>
    </w:p>
    <w:p>
      <w:r>
        <w:rPr>
          <w:rFonts w:ascii="Arial" w:hAnsi="Arial"/>
          <w:b w:val="0"/>
          <w:sz w:val="24"/>
        </w:rPr>
        <w:t>C) Rifaximina sola</w:t>
      </w:r>
    </w:p>
    <w:p>
      <w:r>
        <w:rPr>
          <w:rFonts w:ascii="Arial" w:hAnsi="Arial"/>
          <w:b w:val="0"/>
          <w:sz w:val="24"/>
        </w:rPr>
        <w:t>D) Neomicina oral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Encefalopatía hepática: controlar precipitantes (sangrado GI, infección, hipokalemia, constipación, fármacos). Lactulosa es base del tratamiento (acidifica colon, reduce amonio). Rifaximina adicionar si refractaria o recurrencias.</w:t>
      </w:r>
    </w:p>
    <w:p>
      <w:r>
        <w:rPr>
          <w:rFonts w:ascii="Arial" w:hAnsi="Arial"/>
          <w:b/>
          <w:sz w:val="24"/>
        </w:rPr>
        <w:t>Sesgo que activa: Disponibilidad — preferir rifaximina de primera línea por novedad sin usar lactulosa como base.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cirrosis Child B, creatinina 1.5 mg/dL, bilirrubina 4 mg/dL, INR 1.8. ¿MELD aproximado?</w:t>
      </w:r>
    </w:p>
    <w:p>
      <w:r>
        <w:rPr>
          <w:rFonts w:ascii="Arial" w:hAnsi="Arial"/>
          <w:b w:val="0"/>
          <w:sz w:val="24"/>
        </w:rPr>
        <w:t>A) 6-10</w:t>
      </w:r>
    </w:p>
    <w:p>
      <w:r>
        <w:rPr>
          <w:rFonts w:ascii="Arial" w:hAnsi="Arial"/>
          <w:b w:val="0"/>
          <w:sz w:val="24"/>
        </w:rPr>
        <w:t>B) 11-15</w:t>
      </w:r>
    </w:p>
    <w:p>
      <w:r>
        <w:rPr>
          <w:rFonts w:ascii="Arial" w:hAnsi="Arial"/>
          <w:b w:val="0"/>
          <w:sz w:val="24"/>
        </w:rPr>
        <w:t>C) 16-20</w:t>
      </w:r>
    </w:p>
    <w:p>
      <w:r>
        <w:rPr>
          <w:rFonts w:ascii="Arial" w:hAnsi="Arial"/>
          <w:b w:val="0"/>
          <w:sz w:val="24"/>
        </w:rPr>
        <w:t>D) &gt;30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MELD = [0.957×log(creatinina) + 0.378×log(bilirrubina) + 1.12×log(INR) + 0.643]×10. Valores de 6-40; &gt;15 generalmente candidato a trasplante. Con estas cifras, MELD aproximado ~12-14.</w:t>
      </w:r>
    </w:p>
    <w:p>
      <w:r>
        <w:rPr>
          <w:rFonts w:ascii="Arial" w:hAnsi="Arial"/>
          <w:b/>
          <w:sz w:val="24"/>
        </w:rPr>
        <w:t>Sesgo que activa: Cierre prematuro — estimar MELD sin calcular aproximadamente.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Paciente con cirrosis, ascitis moderada, sodio sérico 118 mEq/L. ¿Restricción hídrica?</w:t>
      </w:r>
    </w:p>
    <w:p>
      <w:r>
        <w:rPr>
          <w:rFonts w:ascii="Arial" w:hAnsi="Arial"/>
          <w:b w:val="0"/>
          <w:sz w:val="24"/>
        </w:rPr>
        <w:t>A) No restringir líquidos</w:t>
      </w:r>
    </w:p>
    <w:p>
      <w:r>
        <w:rPr>
          <w:rFonts w:ascii="Arial" w:hAnsi="Arial"/>
          <w:b w:val="0"/>
          <w:sz w:val="24"/>
        </w:rPr>
        <w:t>B) Restringir agua si sodio &lt;120-125 mEq/L</w:t>
      </w:r>
    </w:p>
    <w:p>
      <w:r>
        <w:rPr>
          <w:rFonts w:ascii="Arial" w:hAnsi="Arial"/>
          <w:b w:val="0"/>
          <w:sz w:val="24"/>
        </w:rPr>
        <w:t>C) Restringir sodio &lt;2 g/día solamente</w:t>
      </w:r>
    </w:p>
    <w:p>
      <w:r>
        <w:rPr>
          <w:rFonts w:ascii="Arial" w:hAnsi="Arial"/>
          <w:b w:val="0"/>
          <w:sz w:val="24"/>
        </w:rPr>
        <w:t>D) Diuréticos en dosis máximas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Ascitis + hiponatremia (&lt;120-125): restringir ingesta hídrica además de sodio. Diuréticos con precaución. Paracentesis con albúmina si ascitis tensa o refractaria.</w:t>
      </w:r>
    </w:p>
    <w:p>
      <w:r>
        <w:rPr>
          <w:rFonts w:ascii="Arial" w:hAnsi="Arial"/>
          <w:b/>
          <w:sz w:val="24"/>
        </w:rPr>
        <w:t>Sesgo que activa: Anclaje — pensar solo en restricción de sodio sin considerar restricción hídrica en hiponatremia.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con cirrosis, hematemesis masiva, signos de shock. ¿Manejo inicial?</w:t>
      </w:r>
    </w:p>
    <w:p>
      <w:r>
        <w:rPr>
          <w:rFonts w:ascii="Arial" w:hAnsi="Arial"/>
          <w:b w:val="0"/>
          <w:sz w:val="24"/>
        </w:rPr>
        <w:t>A) Endoscopia urgente sin reanimación</w:t>
      </w:r>
    </w:p>
    <w:p>
      <w:r>
        <w:rPr>
          <w:rFonts w:ascii="Arial" w:hAnsi="Arial"/>
          <w:b w:val="0"/>
          <w:sz w:val="24"/>
        </w:rPr>
        <w:t>B) Reanimación hídrica, antibioticoterapia profiláctica, octreótido, y luego endoscopia en primeras 12 horas</w:t>
      </w:r>
    </w:p>
    <w:p>
      <w:r>
        <w:rPr>
          <w:rFonts w:ascii="Arial" w:hAnsi="Arial"/>
          <w:b w:val="0"/>
          <w:sz w:val="24"/>
        </w:rPr>
        <w:t>C) Cirugía de urgencia inmediata</w:t>
      </w:r>
    </w:p>
    <w:p>
      <w:r>
        <w:rPr>
          <w:rFonts w:ascii="Arial" w:hAnsi="Arial"/>
          <w:b w:val="0"/>
          <w:sz w:val="24"/>
        </w:rPr>
        <w:t>D) Transfusión masiva sin límite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Sangrado por várices esofágicas: reanimación restrictiva (Hb 7-8 g/dL), antibiótico profiláctico (ceftriaxona/norfloxacino), octreótido/vasopresina + nitroglicerina, endoscopia en &lt;12 horas con ligadura/banda.</w:t>
      </w:r>
    </w:p>
    <w:p>
      <w:r>
        <w:rPr>
          <w:rFonts w:ascii="Arial" w:hAnsi="Arial"/>
          <w:b/>
          <w:sz w:val="24"/>
        </w:rPr>
        <w:t>Sesgo que activa: Cierre prematuro — llevar a cirugía sin intentar endoscopia terapéutica.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Paciente con cirrosis, bilirrubina 1.5 mg/dL, albúmina 3.0 g/dL, INR 1.8, sin ascitis ni encefalopatía. ¿Child-Pugh?</w:t>
      </w:r>
    </w:p>
    <w:p>
      <w:r>
        <w:rPr>
          <w:rFonts w:ascii="Arial" w:hAnsi="Arial"/>
          <w:b w:val="0"/>
          <w:sz w:val="24"/>
        </w:rPr>
        <w:t>A) Child A</w:t>
      </w:r>
    </w:p>
    <w:p>
      <w:r>
        <w:rPr>
          <w:rFonts w:ascii="Arial" w:hAnsi="Arial"/>
          <w:b w:val="0"/>
          <w:sz w:val="24"/>
        </w:rPr>
        <w:t>B) Child B</w:t>
      </w:r>
    </w:p>
    <w:p>
      <w:r>
        <w:rPr>
          <w:rFonts w:ascii="Arial" w:hAnsi="Arial"/>
          <w:b w:val="0"/>
          <w:sz w:val="24"/>
        </w:rPr>
        <w:t>C) Child C</w:t>
      </w:r>
    </w:p>
    <w:p>
      <w:r>
        <w:rPr>
          <w:rFonts w:ascii="Arial" w:hAnsi="Arial"/>
          <w:b w:val="0"/>
          <w:sz w:val="24"/>
        </w:rPr>
        <w:t>D) No clasificable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Bilirrubina 1.5 = 1 punto (2-3 mg/dL = 2 puntos, aquí &lt;2 = 1 punto). Albúmina 3.0 = 2 puntos (2.8-3.5). INR 1.8 = 2 puntos (1.7-2.3). Sin ascitis = 1 punto. Sin encefalopatía = 1 punto. Total 7 puntos = Child B (7-9).</w:t>
      </w:r>
    </w:p>
    <w:p>
      <w:r>
        <w:rPr>
          <w:rFonts w:ascii="Arial" w:hAnsi="Arial"/>
          <w:b/>
          <w:sz w:val="24"/>
        </w:rPr>
        <w:t>Sesgo que activa: Cierre prematuro — clasificar como Child A por bilirrubina baja sin sumar todos los puntos.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con cirrosis, ascitis, creatinina 2.5 mg/dL, oliguria, sin shock, sin nefrotóxicos, sin infección. ¿Síndrome?</w:t>
      </w:r>
    </w:p>
    <w:p>
      <w:r>
        <w:rPr>
          <w:rFonts w:ascii="Arial" w:hAnsi="Arial"/>
          <w:b w:val="0"/>
          <w:sz w:val="24"/>
        </w:rPr>
        <w:t>A) Síndrome hepatorrenal tipo 1</w:t>
      </w:r>
    </w:p>
    <w:p>
      <w:r>
        <w:rPr>
          <w:rFonts w:ascii="Arial" w:hAnsi="Arial"/>
          <w:b w:val="0"/>
          <w:sz w:val="24"/>
        </w:rPr>
        <w:t>B) Síndrome hepatorrenal tipo 2</w:t>
      </w:r>
    </w:p>
    <w:p>
      <w:r>
        <w:rPr>
          <w:rFonts w:ascii="Arial" w:hAnsi="Arial"/>
          <w:b w:val="0"/>
          <w:sz w:val="24"/>
        </w:rPr>
        <w:t>C) Lesión renal aguda prerrenal</w:t>
      </w:r>
    </w:p>
    <w:p>
      <w:r>
        <w:rPr>
          <w:rFonts w:ascii="Arial" w:hAnsi="Arial"/>
          <w:b w:val="0"/>
          <w:sz w:val="24"/>
        </w:rPr>
        <w:t>D) Glomerulonefritis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Síndrome hepatorrenal tipo 1: IRA rápidamente progresiva en cirrosis con ascitis, sin otra causa (shock, nefrotóxicos, infección). Creatinina &gt;2.5 en &lt;2 semanas o duplicación &lt;2 semanas. Tratamiento: terlipresina + albúmina, TIPS, trasplante hepático. Tipo 2: progresión lenta, refractaria a diuréticos.</w:t>
      </w:r>
    </w:p>
    <w:p>
      <w:r>
        <w:rPr>
          <w:rFonts w:ascii="Arial" w:hAnsi="Arial"/>
          <w:b/>
          <w:sz w:val="24"/>
        </w:rPr>
        <w:t>Sesgo que activa: Anclaje — atribuir creatinina elevada solo a "deshidratación" sin considerar hepatorrenal.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Paciente cirrosis, encefalopatía grado I, lactulosa iniciada. ¿Meta de evacuaciones?</w:t>
      </w:r>
    </w:p>
    <w:p>
      <w:r>
        <w:rPr>
          <w:rFonts w:ascii="Arial" w:hAnsi="Arial"/>
          <w:b w:val="0"/>
          <w:sz w:val="24"/>
        </w:rPr>
        <w:t>A) 1-2 evacuaciones al día</w:t>
      </w:r>
    </w:p>
    <w:p>
      <w:r>
        <w:rPr>
          <w:rFonts w:ascii="Arial" w:hAnsi="Arial"/>
          <w:b w:val="0"/>
          <w:sz w:val="24"/>
        </w:rPr>
        <w:t>B) 2-3 evacuaciones blandas al día</w:t>
      </w:r>
    </w:p>
    <w:p>
      <w:r>
        <w:rPr>
          <w:rFonts w:ascii="Arial" w:hAnsi="Arial"/>
          <w:b w:val="0"/>
          <w:sz w:val="24"/>
        </w:rPr>
        <w:t>C) 4-6 evacuaciones diarreicas</w:t>
      </w:r>
    </w:p>
    <w:p>
      <w:r>
        <w:rPr>
          <w:rFonts w:ascii="Arial" w:hAnsi="Arial"/>
          <w:b w:val="0"/>
          <w:sz w:val="24"/>
        </w:rPr>
        <w:t>D) Ayuno completo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Lactulosa: titular hasta 2-3 evacuaciones blandas al día. Evitar diarrea excesiva (puede empeorar electrólitos). Ayuno no está indicado; restricción proteica moderada (1-1.2 g/kg).</w:t>
      </w:r>
    </w:p>
    <w:p>
      <w:r>
        <w:rPr>
          <w:rFonts w:ascii="Arial" w:hAnsi="Arial"/>
          <w:b/>
          <w:sz w:val="24"/>
        </w:rPr>
        <w:t>Sesgo que activa: Sobreconfianza — pensar que más evacuaciones = mejor control de encefalopatía.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con cirrosis compensada, AFP 450 ng/mL, lesión hepática 3 cm en USG con realce arterial y lavado en fase venosa. ¿Diagnóstico?</w:t>
      </w:r>
    </w:p>
    <w:p>
      <w:r>
        <w:rPr>
          <w:rFonts w:ascii="Arial" w:hAnsi="Arial"/>
          <w:b w:val="0"/>
          <w:sz w:val="24"/>
        </w:rPr>
        <w:t>A) Hemangioma hepático</w:t>
      </w:r>
    </w:p>
    <w:p>
      <w:r>
        <w:rPr>
          <w:rFonts w:ascii="Arial" w:hAnsi="Arial"/>
          <w:b w:val="0"/>
          <w:sz w:val="24"/>
        </w:rPr>
        <w:t>B) Carcinoma hepatocelular</w:t>
      </w:r>
    </w:p>
    <w:p>
      <w:r>
        <w:rPr>
          <w:rFonts w:ascii="Arial" w:hAnsi="Arial"/>
          <w:b w:val="0"/>
          <w:sz w:val="24"/>
        </w:rPr>
        <w:t>C) Metástasis hepática</w:t>
      </w:r>
    </w:p>
    <w:p>
      <w:r>
        <w:rPr>
          <w:rFonts w:ascii="Arial" w:hAnsi="Arial"/>
          <w:b w:val="0"/>
          <w:sz w:val="24"/>
        </w:rPr>
        <w:t>D) Hiperplasia nodular focal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Cirrosis + AFP &gt;400 + lesión &gt;2 cm con realce arterial y lavado venoso = carcinoma hepatocelular (criterios LI-RADS 5). No requiere biopsia si imagen típica.</w:t>
      </w:r>
    </w:p>
    <w:p>
      <w:r>
        <w:rPr>
          <w:rFonts w:ascii="Arial" w:hAnsi="Arial"/>
          <w:b/>
          <w:sz w:val="24"/>
        </w:rPr>
        <w:t>Sesgo que activa: Prevalencia base — pensar en metástasis por ser lesión hepática frecuente sin considerar contexto de cirrosis.</w:t>
      </w:r>
    </w:p>
    <w:p/>
    <w:p>
      <w:r>
        <w:br w:type="page"/>
      </w:r>
    </w:p>
    <w:p>
      <w:r>
        <w:rPr>
          <w:rFonts w:ascii="Arial" w:hAnsi="Arial"/>
          <w:b/>
          <w:sz w:val="26"/>
        </w:rPr>
        <w:t>Tema: Sepsis y Choque Séptico</w:t>
      </w:r>
    </w:p>
    <w:p/>
    <w:p>
      <w:r>
        <w:rPr>
          <w:rFonts w:ascii="Arial" w:hAnsi="Arial"/>
          <w:b/>
          <w:sz w:val="24"/>
        </w:rPr>
        <w:t>Illness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Epidemiología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Sepsis: mortalidad 20-50%. Choque séptico: 40-70%. Bacterias gramnegativas 40%, grampositivas 31%, polimicrobianas 16%, fúngicas 6%.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Curso temporal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Infección → respuesta inflamatoria sistémica desregulada en horas. Progresión a disfunción orgánica y choque si no se trata en primera hora ("golden hour").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Fisiopatología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Respuesta inflamatoria sistémica desregulada → activación endotelio y coagulación → fuga capilar, vasodilatación → hipoperfusión tisular → acidosis láctica, disfunción mitocondrial → falla multiorgánica.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Presentación clínica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Fiebre o hipotermia, taquicardia, taquipnea, alteración del estado mental, hipotensión, oliguria, hipoxemia. Choque séptico: hipotensión refractaria a líquidos + lactato &gt;2 mmol/L.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qSOFA ≥2: FR ≥22, alteración mental, PAS ≤100. SOFA: incremento ≥2 puntos. Lactato &gt;2 mmol/L = hipoperfusión. Hemocultivos antes de antibióticos. Cultivos de sitios posibles.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Tratamiento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1) Antibiótico empírico de amplio espectro en primera hora. 2) Cristaloides 30 mL/kg en primeras 3 horas. 3) Vasopresores: norepinefrina primera línea; vasopresina o epinefrina segunda línea. 4) Dobutamina si disfunción miocárdica. 5) Hidrocortisona 200 mg/día solo si choque refractario.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4"/>
              </w:rPr>
              <w:t>Diagnósticos diferenciales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sz w:val="24"/>
              </w:rPr>
              <w:t>Choque cardiogénico (falla de bomba), hipovolémico, anafiláctico, neurogénico, obstructivo (taponamiento, TEP).</w:t>
            </w:r>
          </w:p>
        </w:tc>
      </w:tr>
    </w:tbl>
    <w:p/>
    <w:p>
      <w:r>
        <w:rPr>
          <w:rFonts w:ascii="Arial" w:hAnsi="Arial"/>
          <w:b/>
          <w:sz w:val="24"/>
        </w:rPr>
        <w:t>Preguntas tipo ENARM</w:t>
      </w:r>
    </w:p>
    <w:p>
      <w:r>
        <w:rPr>
          <w:rFonts w:ascii="Arial" w:hAnsi="Arial"/>
          <w:b/>
          <w:sz w:val="24"/>
        </w:rPr>
        <w:t>ANTES de ver la respuesta, explica en voz alta por qué elegiste esa opción.</w:t>
      </w:r>
    </w:p>
    <w:p/>
    <w:p>
      <w:r>
        <w:rPr>
          <w:rFonts w:ascii="Arial" w:hAnsi="Arial"/>
          <w:b/>
          <w:sz w:val="24"/>
        </w:rPr>
        <w:t>Pregunta 1</w:t>
      </w:r>
    </w:p>
    <w:p>
      <w:r>
        <w:rPr>
          <w:rFonts w:ascii="Arial" w:hAnsi="Arial"/>
          <w:b w:val="0"/>
          <w:sz w:val="24"/>
        </w:rPr>
        <w:t>Paciente de 68 años, fiebre 39°C, FR 26, PAS 88/60 mmHg, confuso, lactato 4.2 mmol/L. ¿Diagnóstico?</w:t>
      </w:r>
    </w:p>
    <w:p>
      <w:r>
        <w:rPr>
          <w:rFonts w:ascii="Arial" w:hAnsi="Arial"/>
          <w:b w:val="0"/>
          <w:sz w:val="24"/>
        </w:rPr>
        <w:t>A) Sepsis sin choque</w:t>
      </w:r>
    </w:p>
    <w:p>
      <w:r>
        <w:rPr>
          <w:rFonts w:ascii="Arial" w:hAnsi="Arial"/>
          <w:b w:val="0"/>
          <w:sz w:val="24"/>
        </w:rPr>
        <w:t>B) Choque séptico</w:t>
      </w:r>
    </w:p>
    <w:p>
      <w:r>
        <w:rPr>
          <w:rFonts w:ascii="Arial" w:hAnsi="Arial"/>
          <w:b w:val="0"/>
          <w:sz w:val="24"/>
        </w:rPr>
        <w:t>C) Choque cardiogénico</w:t>
      </w:r>
    </w:p>
    <w:p>
      <w:r>
        <w:rPr>
          <w:rFonts w:ascii="Arial" w:hAnsi="Arial"/>
          <w:b w:val="0"/>
          <w:sz w:val="24"/>
        </w:rPr>
        <w:t>D) Sepsis leve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qSOFA: FR ≥22 (1), alteración mental (1), PAS ≤100 (1) = 3 puntos. Lactato 4.2 &gt;2 mmol/L + hipotensión = choque séptico. Requiere vasopresores para mantener PAM ≥65.</w:t>
      </w:r>
    </w:p>
    <w:p>
      <w:r>
        <w:rPr>
          <w:rFonts w:ascii="Arial" w:hAnsi="Arial"/>
          <w:b/>
          <w:sz w:val="24"/>
        </w:rPr>
        <w:t>Sesgo que activa: Cierre prematuro — clasificar como "sepsis" sin reconocer criterios de choque.</w:t>
      </w:r>
    </w:p>
    <w:p/>
    <w:p>
      <w:r>
        <w:rPr>
          <w:rFonts w:ascii="Arial" w:hAnsi="Arial"/>
          <w:b/>
          <w:sz w:val="24"/>
        </w:rPr>
        <w:t>Pregunta 2</w:t>
      </w:r>
    </w:p>
    <w:p>
      <w:r>
        <w:rPr>
          <w:rFonts w:ascii="Arial" w:hAnsi="Arial"/>
          <w:b w:val="0"/>
          <w:sz w:val="24"/>
        </w:rPr>
        <w:t>Paciente con choque séptico, ya recibió 30 mL/kg cristaloides, PAS 82/50, lactato 5 mmol/L. ¿Vasopresor de primera línea?</w:t>
      </w:r>
    </w:p>
    <w:p>
      <w:r>
        <w:rPr>
          <w:rFonts w:ascii="Arial" w:hAnsi="Arial"/>
          <w:b w:val="0"/>
          <w:sz w:val="24"/>
        </w:rPr>
        <w:t>A) Dopamina</w:t>
      </w:r>
    </w:p>
    <w:p>
      <w:r>
        <w:rPr>
          <w:rFonts w:ascii="Arial" w:hAnsi="Arial"/>
          <w:b w:val="0"/>
          <w:sz w:val="24"/>
        </w:rPr>
        <w:t>B) Norepinefrina</w:t>
      </w:r>
    </w:p>
    <w:p>
      <w:r>
        <w:rPr>
          <w:rFonts w:ascii="Arial" w:hAnsi="Arial"/>
          <w:b w:val="0"/>
          <w:sz w:val="24"/>
        </w:rPr>
        <w:t>C) Epinefrina</w:t>
      </w:r>
    </w:p>
    <w:p>
      <w:r>
        <w:rPr>
          <w:rFonts w:ascii="Arial" w:hAnsi="Arial"/>
          <w:b w:val="0"/>
          <w:sz w:val="24"/>
        </w:rPr>
        <w:t>D) Fenilefrina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Norepinefrina es vasopresor de primera línea en choque séptico según Sepsis-3/Surviving Sepsis Campaign. Dopamina solo casos seleccionados; no usar en dosis bajas "renales" (práctica en desuso).</w:t>
      </w:r>
    </w:p>
    <w:p>
      <w:r>
        <w:rPr>
          <w:rFonts w:ascii="Arial" w:hAnsi="Arial"/>
          <w:b/>
          <w:sz w:val="24"/>
        </w:rPr>
        <w:t>Sesgo que activa: Disponibilidad — pensar en dopamina por familiaridad sin seguir guías actuales.</w:t>
      </w:r>
    </w:p>
    <w:p/>
    <w:p>
      <w:r>
        <w:rPr>
          <w:rFonts w:ascii="Arial" w:hAnsi="Arial"/>
          <w:b/>
          <w:sz w:val="24"/>
        </w:rPr>
        <w:t>Pregunta 3</w:t>
      </w:r>
    </w:p>
    <w:p>
      <w:r>
        <w:rPr>
          <w:rFonts w:ascii="Arial" w:hAnsi="Arial"/>
          <w:b w:val="0"/>
          <w:sz w:val="24"/>
        </w:rPr>
        <w:t>Paciente con sepsis, se sospecha infección urinaria. ¿Momento de tomar hemocultivos?</w:t>
      </w:r>
    </w:p>
    <w:p>
      <w:r>
        <w:rPr>
          <w:rFonts w:ascii="Arial" w:hAnsi="Arial"/>
          <w:b w:val="0"/>
          <w:sz w:val="24"/>
        </w:rPr>
        <w:t>A) Después de iniciar antibiótico</w:t>
      </w:r>
    </w:p>
    <w:p>
      <w:r>
        <w:rPr>
          <w:rFonts w:ascii="Arial" w:hAnsi="Arial"/>
          <w:b w:val="0"/>
          <w:sz w:val="24"/>
        </w:rPr>
        <w:t>B) Antes de iniciar antibiótico, si no retrasa &gt;45 min</w:t>
      </w:r>
    </w:p>
    <w:p>
      <w:r>
        <w:rPr>
          <w:rFonts w:ascii="Arial" w:hAnsi="Arial"/>
          <w:b w:val="0"/>
          <w:sz w:val="24"/>
        </w:rPr>
        <w:t>C) No tomar hemocultivos si se ve obvio el foco</w:t>
      </w:r>
    </w:p>
    <w:p>
      <w:r>
        <w:rPr>
          <w:rFonts w:ascii="Arial" w:hAnsi="Arial"/>
          <w:b w:val="0"/>
          <w:sz w:val="24"/>
        </w:rPr>
        <w:t>D) 24 horas después de antibiótico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Hemocultivos (2 pares) antes de antibióticos si no retrasan &gt;45 min. Si paciente inestable, iniciar antibiótico en primera hora y tomar cultivos simultáneamente si es posible.</w:t>
      </w:r>
    </w:p>
    <w:p>
      <w:r>
        <w:rPr>
          <w:rFonts w:ascii="Arial" w:hAnsi="Arial"/>
          <w:b/>
          <w:sz w:val="24"/>
        </w:rPr>
        <w:t>Sesgo que activa: Cierre prematuro — iniciar antibiótico sin cultivos por urgencia.</w:t>
      </w:r>
    </w:p>
    <w:p/>
    <w:p>
      <w:r>
        <w:rPr>
          <w:rFonts w:ascii="Arial" w:hAnsi="Arial"/>
          <w:b/>
          <w:sz w:val="24"/>
        </w:rPr>
        <w:t>Pregunta 4</w:t>
      </w:r>
    </w:p>
    <w:p>
      <w:r>
        <w:rPr>
          <w:rFonts w:ascii="Arial" w:hAnsi="Arial"/>
          <w:b w:val="0"/>
          <w:sz w:val="24"/>
        </w:rPr>
        <w:t>Paciente con choque séptico refractario a norepinefrina y vasopresina. ¿Indicación de corticoides?</w:t>
      </w:r>
    </w:p>
    <w:p>
      <w:r>
        <w:rPr>
          <w:rFonts w:ascii="Arial" w:hAnsi="Arial"/>
          <w:b w:val="0"/>
          <w:sz w:val="24"/>
        </w:rPr>
        <w:t>A) Dexametasona 40 mg IV</w:t>
      </w:r>
    </w:p>
    <w:p>
      <w:r>
        <w:rPr>
          <w:rFonts w:ascii="Arial" w:hAnsi="Arial"/>
          <w:b w:val="0"/>
          <w:sz w:val="24"/>
        </w:rPr>
        <w:t>B) Hidrocortisona 200 mg/día</w:t>
      </w:r>
    </w:p>
    <w:p>
      <w:r>
        <w:rPr>
          <w:rFonts w:ascii="Arial" w:hAnsi="Arial"/>
          <w:b w:val="0"/>
          <w:sz w:val="24"/>
        </w:rPr>
        <w:t>C) Metilprednisolona 1 g/día</w:t>
      </w:r>
    </w:p>
    <w:p>
      <w:r>
        <w:rPr>
          <w:rFonts w:ascii="Arial" w:hAnsi="Arial"/>
          <w:b w:val="0"/>
          <w:sz w:val="24"/>
        </w:rPr>
        <w:t>D) No hay indicación de corticoides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Hidrocortisona 200 mg/día solo si choque refractario a vasopresores y líquidos. No mejora mortalidad en sepsis sin choque. No usar altas dosis metilprednisolona.</w:t>
      </w:r>
    </w:p>
    <w:p>
      <w:r>
        <w:rPr>
          <w:rFonts w:ascii="Arial" w:hAnsi="Arial"/>
          <w:b/>
          <w:sz w:val="24"/>
        </w:rPr>
        <w:t>Sesgo que activa: Disponibilidad — usar metilprednisolona por "efecto antiinflamatorio" sin evidencia.</w:t>
      </w:r>
    </w:p>
    <w:p/>
    <w:p>
      <w:r>
        <w:rPr>
          <w:rFonts w:ascii="Arial" w:hAnsi="Arial"/>
          <w:b/>
          <w:sz w:val="24"/>
        </w:rPr>
        <w:t>Pregunta 5</w:t>
      </w:r>
    </w:p>
    <w:p>
      <w:r>
        <w:rPr>
          <w:rFonts w:ascii="Arial" w:hAnsi="Arial"/>
          <w:b w:val="0"/>
          <w:sz w:val="24"/>
        </w:rPr>
        <w:t>Paciente sepsis, qSOFA 1 punto, lactato 1.8 mmol/L, hemodinámicamente estable. ¿Ubicación ideal?</w:t>
      </w:r>
    </w:p>
    <w:p>
      <w:r>
        <w:rPr>
          <w:rFonts w:ascii="Arial" w:hAnsi="Arial"/>
          <w:b w:val="0"/>
          <w:sz w:val="24"/>
        </w:rPr>
        <w:t>A) UCI obligatoria</w:t>
      </w:r>
    </w:p>
    <w:p>
      <w:r>
        <w:rPr>
          <w:rFonts w:ascii="Arial" w:hAnsi="Arial"/>
          <w:b w:val="0"/>
          <w:sz w:val="24"/>
        </w:rPr>
        <w:t>B) Piso o área de observación según evolución</w:t>
      </w:r>
    </w:p>
    <w:p>
      <w:r>
        <w:rPr>
          <w:rFonts w:ascii="Arial" w:hAnsi="Arial"/>
          <w:b w:val="0"/>
          <w:sz w:val="24"/>
        </w:rPr>
        <w:t>C) Solo domicilio</w:t>
      </w:r>
    </w:p>
    <w:p>
      <w:r>
        <w:rPr>
          <w:rFonts w:ascii="Arial" w:hAnsi="Arial"/>
          <w:b w:val="0"/>
          <w:sz w:val="24"/>
        </w:rPr>
        <w:t>D) Quirofano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qSOFA ≥2 predice mortalidad fuera de UCI, pero no indica UCI obligatoria por sí sola. qSOFA 1 + lactato normal + estable: manejo en piso con monitoreo estrecho. SOFA completo para decidir UCI.</w:t>
      </w:r>
    </w:p>
    <w:p>
      <w:r>
        <w:rPr>
          <w:rFonts w:ascii="Arial" w:hAnsi="Arial"/>
          <w:b/>
          <w:sz w:val="24"/>
        </w:rPr>
        <w:t>Sesgo que activa: Prevalencia base — pensar que toda sepsis requiere UCI sin estratificar.</w:t>
      </w:r>
    </w:p>
    <w:p/>
    <w:p>
      <w:r>
        <w:rPr>
          <w:rFonts w:ascii="Arial" w:hAnsi="Arial"/>
          <w:b/>
          <w:sz w:val="24"/>
        </w:rPr>
        <w:t>Pregunta 6</w:t>
      </w:r>
    </w:p>
    <w:p>
      <w:r>
        <w:rPr>
          <w:rFonts w:ascii="Arial" w:hAnsi="Arial"/>
          <w:b w:val="0"/>
          <w:sz w:val="24"/>
        </w:rPr>
        <w:t>Paciente con sepsis, glucosa 320 mg/dL. ¿Meta de control glucémico?</w:t>
      </w:r>
    </w:p>
    <w:p>
      <w:r>
        <w:rPr>
          <w:rFonts w:ascii="Arial" w:hAnsi="Arial"/>
          <w:b w:val="0"/>
          <w:sz w:val="24"/>
        </w:rPr>
        <w:t>A) Glucosa 80-110 mg/dL</w:t>
      </w:r>
    </w:p>
    <w:p>
      <w:r>
        <w:rPr>
          <w:rFonts w:ascii="Arial" w:hAnsi="Arial"/>
          <w:b w:val="0"/>
          <w:sz w:val="24"/>
        </w:rPr>
        <w:t>B) Glucosa &lt;180 mg/dL con insulina si &gt;180</w:t>
      </w:r>
    </w:p>
    <w:p>
      <w:r>
        <w:rPr>
          <w:rFonts w:ascii="Arial" w:hAnsi="Arial"/>
          <w:b w:val="0"/>
          <w:sz w:val="24"/>
        </w:rPr>
        <w:t>C) Glucosa &lt;250 mg/dL</w:t>
      </w:r>
    </w:p>
    <w:p>
      <w:r>
        <w:rPr>
          <w:rFonts w:ascii="Arial" w:hAnsi="Arial"/>
          <w:b w:val="0"/>
          <w:sz w:val="24"/>
        </w:rPr>
        <w:t>D) No usar insulina en sepsis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Control glucémico en sepsis: iniciar insulina si glucosa &gt;180 mg/dL, meta &lt;180 mg/dL. Evitar hipoglucemias. Rango 80-110 demostró más hipoglucemias sin beneficio de mortalidad.</w:t>
      </w:r>
    </w:p>
    <w:p>
      <w:r>
        <w:rPr>
          <w:rFonts w:ascii="Arial" w:hAnsi="Arial"/>
          <w:b/>
          <w:sz w:val="24"/>
        </w:rPr>
        <w:t>Sesgo que activa: Anclaje — meta estricta 80-110 por estudio NICE-SUGAR antiguo sin considerar revisión actual.</w:t>
      </w:r>
    </w:p>
    <w:p/>
    <w:p>
      <w:r>
        <w:rPr>
          <w:rFonts w:ascii="Arial" w:hAnsi="Arial"/>
          <w:b/>
          <w:sz w:val="24"/>
        </w:rPr>
        <w:t>Pregunta 7</w:t>
      </w:r>
    </w:p>
    <w:p>
      <w:r>
        <w:rPr>
          <w:rFonts w:ascii="Arial" w:hAnsi="Arial"/>
          <w:b w:val="0"/>
          <w:sz w:val="24"/>
        </w:rPr>
        <w:t>Paciente con neumonía, sepsis, ya recibió antibiótico. Toma de hemocultivos no fue posible previamente. ¿Qué hacer?</w:t>
      </w:r>
    </w:p>
    <w:p>
      <w:r>
        <w:rPr>
          <w:rFonts w:ascii="Arial" w:hAnsi="Arial"/>
          <w:b w:val="0"/>
          <w:sz w:val="24"/>
        </w:rPr>
        <w:t>A) No tomar cultivos nunca</w:t>
      </w:r>
    </w:p>
    <w:p>
      <w:r>
        <w:rPr>
          <w:rFonts w:ascii="Arial" w:hAnsi="Arial"/>
          <w:b w:val="0"/>
          <w:sz w:val="24"/>
        </w:rPr>
        <w:t>B) Tomar hemocultivos de todas formas</w:t>
      </w:r>
    </w:p>
    <w:p>
      <w:r>
        <w:rPr>
          <w:rFonts w:ascii="Arial" w:hAnsi="Arial"/>
          <w:b w:val="0"/>
          <w:sz w:val="24"/>
        </w:rPr>
        <w:t>C) Esperar 48 horas para cultivos</w:t>
      </w:r>
    </w:p>
    <w:p>
      <w:r>
        <w:rPr>
          <w:rFonts w:ascii="Arial" w:hAnsi="Arial"/>
          <w:b w:val="0"/>
          <w:sz w:val="24"/>
        </w:rPr>
        <w:t>D) Solo cultivo de esputo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Si no se lograron cultivos previos, obtenerlos lo antes posible aunque ya inició antibiótico. Positividad disminuye pero sigue siendo útil. No esperar.</w:t>
      </w:r>
    </w:p>
    <w:p>
      <w:r>
        <w:rPr>
          <w:rFonts w:ascii="Arial" w:hAnsi="Arial"/>
          <w:b/>
          <w:sz w:val="24"/>
        </w:rPr>
        <w:t>Sesgo que activa: Cierre prematuro — renunciar a cultivos por haber iniciado antibiótico.</w:t>
      </w:r>
    </w:p>
    <w:p/>
    <w:p>
      <w:r>
        <w:rPr>
          <w:rFonts w:ascii="Arial" w:hAnsi="Arial"/>
          <w:b/>
          <w:sz w:val="24"/>
        </w:rPr>
        <w:t>Pregunta 8</w:t>
      </w:r>
    </w:p>
    <w:p>
      <w:r>
        <w:rPr>
          <w:rFonts w:ascii="Arial" w:hAnsi="Arial"/>
          <w:b w:val="0"/>
          <w:sz w:val="24"/>
        </w:rPr>
        <w:t>Paciente con choque séptico, ya recibió 30 mL/kg cristaloides, PAS 78/48, FC 115, lactato 6 mmol/L. ¿Próximo paso?</w:t>
      </w:r>
    </w:p>
    <w:p>
      <w:r>
        <w:rPr>
          <w:rFonts w:ascii="Arial" w:hAnsi="Arial"/>
          <w:b w:val="0"/>
          <w:sz w:val="24"/>
        </w:rPr>
        <w:t>A) Más líquidos ilimitados</w:t>
      </w:r>
    </w:p>
    <w:p>
      <w:r>
        <w:rPr>
          <w:rFonts w:ascii="Arial" w:hAnsi="Arial"/>
          <w:b w:val="0"/>
          <w:sz w:val="24"/>
        </w:rPr>
        <w:t>B) Iniciar vasopresores (norepinefrina)</w:t>
      </w:r>
    </w:p>
    <w:p>
      <w:r>
        <w:rPr>
          <w:rFonts w:ascii="Arial" w:hAnsi="Arial"/>
          <w:b w:val="0"/>
          <w:sz w:val="24"/>
        </w:rPr>
        <w:t>C) Corticoides inmediatas</w:t>
      </w:r>
    </w:p>
    <w:p>
      <w:r>
        <w:rPr>
          <w:rFonts w:ascii="Arial" w:hAnsi="Arial"/>
          <w:b w:val="0"/>
          <w:sz w:val="24"/>
        </w:rPr>
        <w:t>D) Dialisis de emergencia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Después de 30 mL/kg cristaloides, si persiste hipotensión/lactato alto: iniciar vasopresores. Norepinefrina primera línea. No líquidos ilimitados (riesgo edema/DAH). Corticoides solo si refractario.</w:t>
      </w:r>
    </w:p>
    <w:p>
      <w:r>
        <w:rPr>
          <w:rFonts w:ascii="Arial" w:hAnsi="Arial"/>
          <w:b/>
          <w:sz w:val="24"/>
        </w:rPr>
        <w:t>Sesgo que activa: Cierre prematuro — seguir dando líquidos sin iniciar vasopresores.</w:t>
      </w:r>
    </w:p>
    <w:p/>
    <w:p>
      <w:r>
        <w:rPr>
          <w:rFonts w:ascii="Arial" w:hAnsi="Arial"/>
          <w:b/>
          <w:sz w:val="24"/>
        </w:rPr>
        <w:t>Pregunta 9</w:t>
      </w:r>
    </w:p>
    <w:p>
      <w:r>
        <w:rPr>
          <w:rFonts w:ascii="Arial" w:hAnsi="Arial"/>
          <w:b w:val="0"/>
          <w:sz w:val="24"/>
        </w:rPr>
        <w:t>Mujer de 45 años, inmunocompetente, fiebre, dolor lumbar, piuria. Creatinina 0.9, PAS 110/70, FR 18, alerta. ¿qSOFA?</w:t>
      </w:r>
    </w:p>
    <w:p>
      <w:r>
        <w:rPr>
          <w:rFonts w:ascii="Arial" w:hAnsi="Arial"/>
          <w:b w:val="0"/>
          <w:sz w:val="24"/>
        </w:rPr>
        <w:t>A) 0</w:t>
      </w:r>
    </w:p>
    <w:p>
      <w:r>
        <w:rPr>
          <w:rFonts w:ascii="Arial" w:hAnsi="Arial"/>
          <w:b w:val="0"/>
          <w:sz w:val="24"/>
        </w:rPr>
        <w:t>B) 1</w:t>
      </w:r>
    </w:p>
    <w:p>
      <w:r>
        <w:rPr>
          <w:rFonts w:ascii="Arial" w:hAnsi="Arial"/>
          <w:b w:val="0"/>
          <w:sz w:val="24"/>
        </w:rPr>
        <w:t>C) 2</w:t>
      </w:r>
    </w:p>
    <w:p>
      <w:r>
        <w:rPr>
          <w:rFonts w:ascii="Arial" w:hAnsi="Arial"/>
          <w:b w:val="0"/>
          <w:sz w:val="24"/>
        </w:rPr>
        <w:t>D) 3</w:t>
      </w:r>
    </w:p>
    <w:p>
      <w:r>
        <w:rPr>
          <w:rFonts w:ascii="Arial" w:hAnsi="Arial"/>
          <w:b/>
          <w:sz w:val="24"/>
        </w:rPr>
        <w:t>Respuesta: A</w:t>
      </w:r>
    </w:p>
    <w:p>
      <w:r>
        <w:rPr>
          <w:rFonts w:ascii="Arial" w:hAnsi="Arial"/>
          <w:b w:val="0"/>
          <w:sz w:val="24"/>
        </w:rPr>
        <w:t>Explicación: qSOFA: FR ≥22 (no, FR 18), alteración mental (no), PAS ≤100 (no, PAS 110). qSOFA = 0. No indica sepsis por qSOFA, aunque pielonefritis requiere antibiótico y monitoreo.</w:t>
      </w:r>
    </w:p>
    <w:p>
      <w:r>
        <w:rPr>
          <w:rFonts w:ascii="Arial" w:hAnsi="Arial"/>
          <w:b/>
          <w:sz w:val="24"/>
        </w:rPr>
        <w:t>Sesgo que activa: Prevalencia base — asumir qSOFA positivo solo por infección y fiebre.</w:t>
      </w:r>
    </w:p>
    <w:p/>
    <w:p>
      <w:r>
        <w:rPr>
          <w:rFonts w:ascii="Arial" w:hAnsi="Arial"/>
          <w:b/>
          <w:sz w:val="24"/>
        </w:rPr>
        <w:t>Pregunta 10</w:t>
      </w:r>
    </w:p>
    <w:p>
      <w:r>
        <w:rPr>
          <w:rFonts w:ascii="Arial" w:hAnsi="Arial"/>
          <w:b w:val="0"/>
          <w:sz w:val="24"/>
        </w:rPr>
        <w:t>Paciente con choque séptico, disfunción miocárdica documentada (FEVI 30%, gasto bajo). ¿Farmaco inotrópico?</w:t>
      </w:r>
    </w:p>
    <w:p>
      <w:r>
        <w:rPr>
          <w:rFonts w:ascii="Arial" w:hAnsi="Arial"/>
          <w:b w:val="0"/>
          <w:sz w:val="24"/>
        </w:rPr>
        <w:t>A) Norepinefrina</w:t>
      </w:r>
    </w:p>
    <w:p>
      <w:r>
        <w:rPr>
          <w:rFonts w:ascii="Arial" w:hAnsi="Arial"/>
          <w:b w:val="0"/>
          <w:sz w:val="24"/>
        </w:rPr>
        <w:t>B) Dobutamina</w:t>
      </w:r>
    </w:p>
    <w:p>
      <w:r>
        <w:rPr>
          <w:rFonts w:ascii="Arial" w:hAnsi="Arial"/>
          <w:b w:val="0"/>
          <w:sz w:val="24"/>
        </w:rPr>
        <w:t>C) Fenilefrina</w:t>
      </w:r>
    </w:p>
    <w:p>
      <w:r>
        <w:rPr>
          <w:rFonts w:ascii="Arial" w:hAnsi="Arial"/>
          <w:b w:val="0"/>
          <w:sz w:val="24"/>
        </w:rPr>
        <w:t>D) Nitroprusiato</w:t>
      </w:r>
    </w:p>
    <w:p>
      <w:r>
        <w:rPr>
          <w:rFonts w:ascii="Arial" w:hAnsi="Arial"/>
          <w:b/>
          <w:sz w:val="24"/>
        </w:rPr>
        <w:t>Respuesta: B</w:t>
      </w:r>
    </w:p>
    <w:p>
      <w:r>
        <w:rPr>
          <w:rFonts w:ascii="Arial" w:hAnsi="Arial"/>
          <w:b w:val="0"/>
          <w:sz w:val="24"/>
        </w:rPr>
        <w:t>Explicación: Dobutamina es inotrópico de elección si hay disfunción miocárdica en choque séptico (aumenta contractilidad). Norepinefrina es vasopresor, no inotrópico puro. Fenilefrina: vasopresor puro sin inotropismo.</w:t>
      </w:r>
    </w:p>
    <w:p>
      <w:r>
        <w:rPr>
          <w:rFonts w:ascii="Arial" w:hAnsi="Arial"/>
          <w:b/>
          <w:sz w:val="24"/>
        </w:rPr>
        <w:t>Sesgo que activa: Disponibilidad — usar norepinefrina para todo tipo de choque sin diferenciar disfunción miocárdica.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